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400" w:before="50" w:after="156"/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广东金融学院课程考核方案</w:t>
      </w:r>
    </w:p>
    <w:p>
      <w:pPr>
        <w:pStyle w:val="Normal"/>
        <w:spacing w:lineRule="exact" w:line="400" w:before="50" w:after="156"/>
        <w:rPr>
          <w:sz w:val="24"/>
        </w:rPr>
      </w:pPr>
      <w:r>
        <w:rPr>
          <w:sz w:val="24"/>
        </w:rPr>
        <w:t>教学单位：计算机学院　　2026 年 9 月 13 日</w:t>
      </w:r>
      <w:r>
        <w:rPr>
          <w:rFonts w:cs="Times New Roman" w:eastAsia="Times New Roman"/>
          <w:b/>
          <w:sz w:val="24"/>
        </w:rPr>
      </w:r>
      <w:r>
        <w:rPr>
          <w:rFonts w:cs="Times New Roman" w:eastAsia="Times New Roman"/>
          <w:sz w:val="24"/>
        </w:rPr>
      </w:r>
      <w:r>
        <w:rPr>
          <w:sz w:val="24"/>
        </w:rPr>
      </w:r>
      <w:r>
        <w:rPr>
          <w:rFonts w:cs="Times New Roman" w:eastAsia="Times New Roman"/>
          <w:sz w:val="24"/>
        </w:rPr>
      </w:r>
      <w:r>
        <w:rPr>
          <w:sz w:val="24"/>
        </w:rPr>
      </w:r>
      <w:r>
        <w:rPr>
          <w:rFonts w:cs="Times New Roman" w:eastAsia="Times New Roman"/>
          <w:sz w:val="24"/>
        </w:rPr>
      </w:r>
      <w:r>
        <w:rPr>
          <w:sz w:val="24"/>
        </w:rPr>
      </w:r>
    </w:p>
    <w:tbl>
      <w:tblPr>
        <w:tblW w:w="918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6"/>
        <w:gridCol w:w="1462"/>
        <w:gridCol w:w="3074"/>
        <w:gridCol w:w="1417"/>
        <w:gridCol w:w="1701"/>
      </w:tblGrid>
      <w:tr>
        <w:trPr>
          <w:trHeight w:val="693" w:hRule="atLeast"/>
        </w:trPr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课程名称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软件测试课程设计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任课教师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周宇文</w:t>
            </w:r>
          </w:p>
        </w:tc>
      </w:tr>
      <w:tr>
        <w:trPr>
          <w:trHeight w:val="694" w:hRule="atLeast"/>
        </w:trPr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考试班级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2024/2025 级计算机类相关专业本科生（以教务选课名单为准）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课程性质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专业选修（选修 √）</w:t>
            </w:r>
            <w:r>
              <w:rPr>
                <w:rFonts w:cs="宋体" w:ascii="宋体" w:hAnsi="宋体"/>
                <w:sz w:val="21"/>
                <w:szCs w:val="21"/>
              </w:rPr>
            </w:r>
            <w:r>
              <w:rPr>
                <w:rFonts w:ascii="宋体" w:hAnsi="宋体" w:cs="宋体"/>
                <w:sz w:val="21"/>
                <w:szCs w:val="21"/>
              </w:rPr>
            </w:r>
          </w:p>
        </w:tc>
      </w:tr>
      <w:tr>
        <w:trPr>
          <w:trHeight w:val="694" w:hRule="atLeast"/>
        </w:trPr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期末考核方式</w:t>
            </w:r>
          </w:p>
        </w:tc>
        <w:tc>
          <w:tcPr>
            <w:tcW w:w="765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统考（　）　随堂考试（　）　考查（ √ ）</w:t>
            </w:r>
          </w:p>
        </w:tc>
      </w:tr>
      <w:tr>
        <w:trPr>
          <w:trHeight w:val="694" w:hRule="atLeast"/>
        </w:trPr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总评成绩构成</w:t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项目</w:t>
            </w:r>
          </w:p>
        </w:tc>
        <w:tc>
          <w:tcPr>
            <w:tcW w:w="61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420"/>
                <w:tab w:val="left" w:pos="450" w:leader="none"/>
                <w:tab w:val="center" w:pos="1720" w:leader="none"/>
              </w:tabs>
              <w:spacing w:lineRule="exact" w:line="30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评分标准</w:t>
            </w:r>
          </w:p>
        </w:tc>
      </w:tr>
      <w:tr>
        <w:trPr>
          <w:trHeight w:val="567" w:hRule="atLeast"/>
          <w:cantSplit w:val="true"/>
        </w:trPr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  <w:vMerge w:val="restart"/>
          </w:tcPr>
          <w:p>
            <w:pPr>
              <w:pStyle w:val="Normal"/>
              <w:widowControl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平时成绩（50%）</w:t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考勤与课堂表现（10%）</w:t>
            </w:r>
            <w:r>
              <w:rPr>
                <w:rFonts w:cs="宋体" w:ascii="宋体" w:hAnsi="宋体"/>
                <w:sz w:val="21"/>
                <w:szCs w:val="21"/>
              </w:rPr>
            </w:r>
            <w:r>
              <w:rPr>
                <w:rFonts w:ascii="宋体" w:hAnsi="宋体" w:cs="宋体"/>
                <w:sz w:val="21"/>
                <w:szCs w:val="21"/>
              </w:rPr>
            </w:r>
          </w:p>
        </w:tc>
        <w:tc>
          <w:tcPr>
            <w:tcW w:w="61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100 分满分：出勤 50 分、课堂讨论与练习 50 分，按次记录、期末折算。</w:t>
            </w:r>
          </w:p>
        </w:tc>
      </w:tr>
      <w:tr>
        <w:trPr>
          <w:trHeight w:val="567" w:hRule="atLeast"/>
          <w:cantSplit w:val="true"/>
        </w:trPr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  <w:vMerge/>
          </w:tcPr>
          <w:p>
            <w:pPr>
              <w:pStyle w:val="Normal"/>
              <w:widowControl/>
              <w:snapToGrid w:val="false"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实验与阶段任务（40%）</w:t>
            </w:r>
            <w:r>
              <w:rPr>
                <w:rFonts w:cs="宋体" w:ascii="宋体" w:hAnsi="宋体"/>
                <w:sz w:val="21"/>
                <w:szCs w:val="21"/>
              </w:rPr>
            </w:r>
            <w:r>
              <w:rPr>
                <w:rFonts w:ascii="宋体" w:hAnsi="宋体" w:cs="宋体"/>
                <w:sz w:val="21"/>
                <w:szCs w:val="21"/>
              </w:rPr>
            </w:r>
          </w:p>
        </w:tc>
        <w:tc>
          <w:tcPr>
            <w:tcW w:w="61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100 分满分：按各章实验任务的完成质量、规范性与提交及时性计分，多次取加权平均。</w:t>
            </w:r>
          </w:p>
        </w:tc>
      </w:tr>
      <w:tr>
        <w:trPr>
          <w:trHeight w:val="567" w:hRule="atLeast"/>
          <w:cantSplit w:val="true"/>
        </w:trPr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  <w:vMerge w:val="restart"/>
          </w:tcPr>
          <w:p>
            <w:pPr>
              <w:pStyle w:val="Normal"/>
              <w:widowControl/>
              <w:snapToGrid w:val="false"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期末成绩（50%）</w:t>
            </w:r>
          </w:p>
          <w:p>
            <w:pPr>
              <w:pStyle w:val="Normal"/>
              <w:widowControl/>
              <w:snapToGrid w:val="false"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（课程设计考核）</w:t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测试计划与用例设计（15%）</w:t>
            </w:r>
            <w:r>
              <w:rPr>
                <w:rFonts w:cs="宋体" w:ascii="宋体" w:hAnsi="宋体"/>
                <w:sz w:val="21"/>
                <w:szCs w:val="21"/>
              </w:rPr>
            </w:r>
            <w:r>
              <w:rPr>
                <w:rFonts w:ascii="宋体" w:hAnsi="宋体" w:cs="宋体"/>
                <w:sz w:val="21"/>
                <w:szCs w:val="21"/>
              </w:rPr>
            </w:r>
          </w:p>
        </w:tc>
        <w:tc>
          <w:tcPr>
            <w:tcW w:w="61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100 分满分：测试范围清晰、策略合理、用例覆盖充分、步骤与预期结果规范。</w:t>
            </w:r>
          </w:p>
        </w:tc>
      </w:tr>
      <w:tr>
        <w:trPr>
          <w:trHeight w:val="567" w:hRule="atLeast"/>
          <w:cantSplit w:val="true"/>
        </w:trPr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  <w:vMerge/>
          </w:tcPr>
          <w:p>
            <w:pPr>
              <w:pStyle w:val="Normal"/>
              <w:widowControl/>
              <w:snapToGrid w:val="false"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测试执行与缺陷报告（15%）</w:t>
            </w:r>
            <w:r>
              <w:rPr>
                <w:rFonts w:cs="宋体" w:ascii="宋体" w:hAnsi="宋体"/>
                <w:sz w:val="21"/>
                <w:szCs w:val="21"/>
              </w:rPr>
            </w:r>
            <w:r>
              <w:rPr>
                <w:rFonts w:ascii="宋体" w:hAnsi="宋体" w:cs="宋体"/>
                <w:sz w:val="21"/>
                <w:szCs w:val="21"/>
              </w:rPr>
            </w:r>
          </w:p>
        </w:tc>
        <w:tc>
          <w:tcPr>
            <w:tcW w:w="61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100 分满分：执行记录完整、缺陷可复现、缺陷描述规范、跟踪闭环。</w:t>
            </w:r>
          </w:p>
        </w:tc>
      </w:tr>
      <w:tr>
        <w:trPr>
          <w:trHeight w:val="567" w:hRule="atLeast"/>
          <w:cantSplit w:val="true"/>
        </w:trPr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  <w:vMerge/>
          </w:tcPr>
          <w:p>
            <w:pPr>
              <w:pStyle w:val="Normal"/>
              <w:widowControl/>
              <w:snapToGrid w:val="false"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测试报告与答辩（20%）</w:t>
            </w:r>
          </w:p>
        </w:tc>
        <w:tc>
          <w:tcPr>
            <w:tcW w:w="61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100 分满分：报告结构完整、数据准确、结论有据；答辩表达清楚、回答准确。</w:t>
            </w:r>
          </w:p>
        </w:tc>
      </w:tr>
      <w:tr>
        <w:trPr>
          <w:trHeight w:val="2369" w:hRule="atLeast"/>
        </w:trPr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备注</w:t>
            </w:r>
          </w:p>
        </w:tc>
        <w:tc>
          <w:tcPr>
            <w:tcW w:w="765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56" w:after="0"/>
              <w:ind w:firstLine="42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平时成绩 50%＝考勤与课堂表现 10%＋实验与阶段任务 40%；期末成绩 50%＝测试计划与用例设计 15%＋测试执行与缺陷报告 15%＋测试报告与答辩 20%，合计 100%。本课程为考查类课程，以过程性考核与课程设计成果为主，不组织闭卷笔试；比例可由任课教师根据教学实际微调，但需在开课时向学生公布。</w:t>
            </w:r>
          </w:p>
        </w:tc>
      </w:tr>
    </w:tbl>
    <w:p>
      <w:pPr>
        <w:pStyle w:val="Normal"/>
        <w:widowControl/>
        <w:spacing w:lineRule="exact" w:line="300" w:before="0" w:after="156"/>
        <w:rPr>
          <w:szCs w:val="21"/>
        </w:rPr>
      </w:pPr>
      <w:r>
        <w:rPr>
          <w:szCs w:val="21"/>
        </w:rPr>
        <w:t>注：以上成绩构成项目及比例请根据课程实际情况填写。</w:t>
      </w:r>
    </w:p>
    <w:p>
      <w:pPr>
        <w:pStyle w:val="Normal"/>
        <w:widowControl/>
        <w:spacing w:lineRule="exact" w:line="320" w:before="240" w:after="0"/>
        <w:ind w:end="420"/>
        <w:jc w:val="center"/>
        <w:rPr>
          <w:szCs w:val="21"/>
        </w:rPr>
      </w:pPr>
      <w:r>
        <w:rPr>
          <w:rFonts w:cs="Times New Roman" w:eastAsia="Times New Roman"/>
          <w:szCs w:val="21"/>
        </w:rPr>
        <w:t xml:space="preserve">                                                      </w:t>
      </w:r>
      <w:r>
        <w:rPr>
          <w:szCs w:val="21"/>
        </w:rPr>
        <w:t>任课教师签字：</w:t>
      </w:r>
      <w:r>
        <w:rPr>
          <w:rFonts w:cs="Times New Roman" w:eastAsia="Times New Roman"/>
          <w:szCs w:val="21"/>
        </w:rPr>
        <w:t xml:space="preserve"> </w:t>
      </w:r>
      <w:r>
        <w:br w:type="page"/>
      </w:r>
    </w:p>
    <w:p>
      <w:pPr>
        <w:pStyle w:val="Normal"/>
        <w:spacing w:lineRule="exact" w:line="400" w:before="50" w:after="156"/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广东金融学院实验课程考核方案（实验类）</w:t>
      </w:r>
    </w:p>
    <w:p>
      <w:pPr>
        <w:pStyle w:val="Normal"/>
        <w:spacing w:lineRule="exact" w:line="400" w:before="50" w:after="156"/>
        <w:rPr>
          <w:sz w:val="24"/>
        </w:rPr>
      </w:pPr>
      <w:r>
        <w:rPr>
          <w:sz w:val="24"/>
        </w:rPr>
        <w:t>教学单位：计算机学院　　专业：计算机类相关专业　　2026 年 9 月 13 日</w:t>
      </w:r>
      <w:r>
        <w:rPr>
          <w:rFonts w:cs="Times New Roman" w:eastAsia="Times New Roman"/>
          <w:sz w:val="24"/>
        </w:rPr>
      </w:r>
      <w:r>
        <w:rPr>
          <w:sz w:val="24"/>
        </w:rPr>
      </w:r>
      <w:r>
        <w:rPr>
          <w:rFonts w:cs="Times New Roman" w:eastAsia="Times New Roman"/>
          <w:sz w:val="24"/>
        </w:rPr>
      </w:r>
      <w:r>
        <w:rPr>
          <w:sz w:val="24"/>
        </w:rPr>
      </w:r>
      <w:r>
        <w:rPr>
          <w:rFonts w:cs="Times New Roman" w:eastAsia="Times New Roman"/>
          <w:sz w:val="24"/>
        </w:rPr>
      </w:r>
      <w:r>
        <w:rPr>
          <w:sz w:val="24"/>
        </w:rPr>
      </w:r>
      <w:r>
        <w:rPr>
          <w:rFonts w:cs="Times New Roman" w:eastAsia="Times New Roman"/>
          <w:sz w:val="24"/>
        </w:rPr>
      </w:r>
      <w:r>
        <w:rPr>
          <w:sz w:val="24"/>
        </w:rPr>
      </w:r>
    </w:p>
    <w:tbl>
      <w:tblPr>
        <w:tblW w:w="878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908"/>
        <w:gridCol w:w="1080"/>
        <w:gridCol w:w="720"/>
        <w:gridCol w:w="720"/>
        <w:gridCol w:w="720"/>
        <w:gridCol w:w="720"/>
        <w:gridCol w:w="539"/>
        <w:gridCol w:w="1081"/>
        <w:gridCol w:w="180"/>
        <w:gridCol w:w="1116"/>
      </w:tblGrid>
      <w:tr>
        <w:trPr>
          <w:trHeight w:val="578" w:hRule="atLeast"/>
        </w:trPr>
        <w:tc>
          <w:tcPr>
            <w:tcW w:w="19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实验课程名称</w:t>
            </w:r>
          </w:p>
        </w:tc>
        <w:tc>
          <w:tcPr>
            <w:tcW w:w="396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软件测试课程设计（课程实验）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实验课教师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周宇文</w:t>
            </w:r>
          </w:p>
        </w:tc>
      </w:tr>
      <w:tr>
        <w:trPr>
          <w:trHeight w:val="577" w:hRule="atLeast"/>
        </w:trPr>
        <w:tc>
          <w:tcPr>
            <w:tcW w:w="19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实验课程学分</w:t>
            </w:r>
          </w:p>
        </w:tc>
        <w:tc>
          <w:tcPr>
            <w:tcW w:w="396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2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方案设计教师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周宇文</w:t>
            </w:r>
          </w:p>
        </w:tc>
      </w:tr>
      <w:tr>
        <w:trPr>
          <w:trHeight w:val="458" w:hRule="atLeast"/>
        </w:trPr>
        <w:tc>
          <w:tcPr>
            <w:tcW w:w="19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实验课程类别</w:t>
            </w:r>
          </w:p>
        </w:tc>
        <w:tc>
          <w:tcPr>
            <w:tcW w:w="6876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独立实验课程（　）　　课程实验（ √ ）</w:t>
            </w:r>
          </w:p>
        </w:tc>
      </w:tr>
      <w:tr>
        <w:trPr>
          <w:trHeight w:val="466" w:hRule="atLeast"/>
        </w:trPr>
        <w:tc>
          <w:tcPr>
            <w:tcW w:w="19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考试实验项目类型</w:t>
            </w:r>
          </w:p>
        </w:tc>
        <w:tc>
          <w:tcPr>
            <w:tcW w:w="6876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rPr>
                <w:rFonts w:ascii="宋体" w:hAnsi="宋体" w:cs="宋体"/>
                <w:szCs w:val="21"/>
                <w:u w:val="single"/>
              </w:rPr>
            </w:pPr>
            <w:r>
              <w:rPr>
                <w:rFonts w:ascii="宋体" w:hAnsi="宋体" w:cs="宋体"/>
                <w:sz w:val="21"/>
                <w:szCs w:val="21"/>
              </w:rPr>
              <w:t>验证型（ ）流程型（ ）分析型（ ）模拟型（ ）设计型（√）综合型（√）</w:t>
            </w:r>
            <w:r>
              <w:rPr>
                <w:rFonts w:cs="宋体" w:ascii="宋体" w:hAnsi="宋体"/>
                <w:sz w:val="21"/>
                <w:szCs w:val="21"/>
              </w:rPr>
            </w:r>
            <w:r>
              <w:rPr>
                <w:rFonts w:ascii="宋体" w:hAnsi="宋体" w:cs="宋体"/>
                <w:sz w:val="21"/>
                <w:szCs w:val="21"/>
              </w:rPr>
            </w:r>
            <w:r>
              <w:rPr>
                <w:rFonts w:cs="宋体" w:ascii="宋体" w:hAnsi="宋体"/>
                <w:sz w:val="21"/>
                <w:szCs w:val="21"/>
              </w:rPr>
            </w:r>
            <w:r>
              <w:rPr>
                <w:rFonts w:cs="宋体" w:ascii="宋体" w:hAnsi="宋体"/>
                <w:sz w:val="21"/>
                <w:szCs w:val="21"/>
                <w:u w:val="single"/>
              </w:rPr>
            </w:r>
          </w:p>
        </w:tc>
      </w:tr>
      <w:tr>
        <w:trPr>
          <w:trHeight w:val="474" w:hRule="atLeast"/>
        </w:trPr>
        <w:tc>
          <w:tcPr>
            <w:tcW w:w="19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实验考试方式</w:t>
            </w:r>
          </w:p>
        </w:tc>
        <w:tc>
          <w:tcPr>
            <w:tcW w:w="6876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系（部）统考（　）　随堂考试（　）　考查（ √ ）</w:t>
            </w:r>
          </w:p>
        </w:tc>
      </w:tr>
      <w:tr>
        <w:trPr>
          <w:trHeight w:val="482" w:hRule="atLeast"/>
        </w:trPr>
        <w:tc>
          <w:tcPr>
            <w:tcW w:w="190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考试班级、考试时间、学生人数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班级</w:t>
            </w:r>
          </w:p>
        </w:tc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人数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420"/>
                <w:tab w:val="left" w:pos="90" w:leader="none"/>
                <w:tab w:val="center" w:pos="1720" w:leader="none"/>
              </w:tabs>
              <w:spacing w:lineRule="exact" w:line="400" w:before="50" w:after="156"/>
              <w:jc w:val="start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  <w:tab/>
            </w:r>
            <w:r>
              <w:rPr>
                <w:rFonts w:ascii="宋体" w:hAnsi="宋体" w:cs="宋体"/>
                <w:szCs w:val="21"/>
              </w:rPr>
              <w:t>考试时间</w:t>
            </w:r>
            <w:r>
              <w:rPr>
                <w:rFonts w:cs="宋体" w:ascii="宋体" w:hAnsi="宋体"/>
                <w:szCs w:val="21"/>
              </w:rPr>
              <w:tab/>
            </w:r>
          </w:p>
        </w:tc>
        <w:tc>
          <w:tcPr>
            <w:tcW w:w="12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420"/>
                <w:tab w:val="left" w:pos="450" w:leader="none"/>
                <w:tab w:val="center" w:pos="1720" w:leader="none"/>
              </w:tabs>
              <w:spacing w:lineRule="exact" w:line="400" w:before="50" w:after="156"/>
              <w:jc w:val="star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考试地点</w:t>
            </w:r>
          </w:p>
        </w:tc>
        <w:tc>
          <w:tcPr>
            <w:tcW w:w="12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420"/>
                <w:tab w:val="left" w:pos="450" w:leader="none"/>
                <w:tab w:val="center" w:pos="1720" w:leader="none"/>
              </w:tabs>
              <w:spacing w:lineRule="exact" w:line="400" w:before="50" w:after="156"/>
              <w:jc w:val="star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监考</w:t>
            </w:r>
            <w:r>
              <w:rPr>
                <w:rFonts w:cs="宋体" w:ascii="宋体" w:hAnsi="宋体"/>
                <w:szCs w:val="21"/>
              </w:rPr>
              <w:t>1</w:t>
            </w:r>
          </w:p>
        </w:tc>
        <w:tc>
          <w:tcPr>
            <w:tcW w:w="11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420"/>
                <w:tab w:val="left" w:pos="450" w:leader="none"/>
                <w:tab w:val="center" w:pos="1720" w:leader="none"/>
              </w:tabs>
              <w:spacing w:lineRule="exact" w:line="400" w:before="50" w:after="156"/>
              <w:jc w:val="star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监考</w:t>
            </w:r>
            <w:r>
              <w:rPr>
                <w:rFonts w:cs="宋体" w:ascii="宋体" w:hAnsi="宋体"/>
                <w:szCs w:val="21"/>
              </w:rPr>
              <w:t>2</w:t>
            </w:r>
          </w:p>
        </w:tc>
      </w:tr>
      <w:tr>
        <w:trPr>
          <w:trHeight w:val="607" w:hRule="atLeast"/>
        </w:trPr>
        <w:tc>
          <w:tcPr>
            <w:tcW w:w="190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2024/2025 级计算机类相关专业本科生（以教务选课名单为准）</w:t>
            </w:r>
          </w:p>
        </w:tc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以选课名单为准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ind w:firstLine="63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第 17 周（随课程设计答辩）</w:t>
            </w:r>
          </w:p>
        </w:tc>
        <w:tc>
          <w:tcPr>
            <w:tcW w:w="12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ind w:firstLine="63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实验室 / 多媒体教室</w:t>
            </w:r>
          </w:p>
        </w:tc>
        <w:tc>
          <w:tcPr>
            <w:tcW w:w="12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ind w:firstLine="63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周宇文</w:t>
            </w:r>
          </w:p>
        </w:tc>
        <w:tc>
          <w:tcPr>
            <w:tcW w:w="11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</w:r>
          </w:p>
        </w:tc>
      </w:tr>
      <w:tr>
        <w:trPr>
          <w:trHeight w:val="607" w:hRule="atLeast"/>
        </w:trPr>
        <w:tc>
          <w:tcPr>
            <w:tcW w:w="190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ind w:firstLine="63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2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ind w:firstLine="63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2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ind w:firstLine="63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1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</w:tr>
      <w:tr>
        <w:trPr>
          <w:trHeight w:val="607" w:hRule="atLeast"/>
        </w:trPr>
        <w:tc>
          <w:tcPr>
            <w:tcW w:w="190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ind w:firstLine="63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2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ind w:firstLine="63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2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ind w:firstLine="63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1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</w:tr>
      <w:tr>
        <w:trPr>
          <w:trHeight w:val="607" w:hRule="atLeast"/>
        </w:trPr>
        <w:tc>
          <w:tcPr>
            <w:tcW w:w="190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ind w:firstLine="63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2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ind w:firstLine="63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2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ind w:firstLine="63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1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</w:tr>
      <w:tr>
        <w:trPr>
          <w:trHeight w:val="607" w:hRule="atLeast"/>
        </w:trPr>
        <w:tc>
          <w:tcPr>
            <w:tcW w:w="190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ind w:firstLine="63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2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ind w:firstLine="63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2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ind w:firstLine="63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1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</w:tr>
      <w:tr>
        <w:trPr>
          <w:trHeight w:val="740" w:hRule="atLeast"/>
        </w:trPr>
        <w:tc>
          <w:tcPr>
            <w:tcW w:w="190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期末考试评分细则（可删减分布项目）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项目</w:t>
            </w:r>
          </w:p>
        </w:tc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操作</w:t>
            </w:r>
          </w:p>
        </w:tc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行为</w:t>
            </w:r>
          </w:p>
        </w:tc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态度</w:t>
            </w:r>
          </w:p>
        </w:tc>
        <w:tc>
          <w:tcPr>
            <w:tcW w:w="12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结果</w:t>
            </w:r>
          </w:p>
        </w:tc>
        <w:tc>
          <w:tcPr>
            <w:tcW w:w="12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其它</w:t>
            </w:r>
          </w:p>
        </w:tc>
        <w:tc>
          <w:tcPr>
            <w:tcW w:w="11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总分</w:t>
            </w:r>
          </w:p>
        </w:tc>
      </w:tr>
      <w:tr>
        <w:trPr/>
        <w:tc>
          <w:tcPr>
            <w:tcW w:w="190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分数分布</w:t>
            </w:r>
          </w:p>
        </w:tc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40</w:t>
            </w:r>
          </w:p>
        </w:tc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10</w:t>
            </w:r>
          </w:p>
        </w:tc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10</w:t>
            </w:r>
          </w:p>
        </w:tc>
        <w:tc>
          <w:tcPr>
            <w:tcW w:w="12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40</w:t>
            </w:r>
          </w:p>
        </w:tc>
        <w:tc>
          <w:tcPr>
            <w:tcW w:w="12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0</w:t>
            </w:r>
          </w:p>
        </w:tc>
        <w:tc>
          <w:tcPr>
            <w:tcW w:w="11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100</w:t>
            </w:r>
          </w:p>
        </w:tc>
      </w:tr>
      <w:tr>
        <w:trPr>
          <w:trHeight w:val="2369" w:hRule="atLeast"/>
        </w:trPr>
        <w:tc>
          <w:tcPr>
            <w:tcW w:w="19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400" w:before="50" w:after="156"/>
              <w:ind w:firstLine="420" w:end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具体实验</w:t>
            </w:r>
          </w:p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考试（考查）</w:t>
            </w:r>
          </w:p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内容</w:t>
            </w:r>
          </w:p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（可附页）</w:t>
            </w:r>
          </w:p>
        </w:tc>
        <w:tc>
          <w:tcPr>
            <w:tcW w:w="6876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实验一　测试环境搭建与缺陷发现（第 1 周）</w:t>
            </w:r>
          </w:p>
          <w:p>
            <w:pPr>
              <w:pStyle w:val="Normal"/>
              <w:snapToGrid w:val="false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实验二　等价类与边界值用例设计（第 2 周）</w:t>
            </w:r>
          </w:p>
          <w:p>
            <w:pPr>
              <w:pStyle w:val="Normal"/>
              <w:snapToGrid w:val="false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实验三　探索式测试会话（第 3 周）</w:t>
            </w:r>
          </w:p>
          <w:p>
            <w:pPr>
              <w:pStyle w:val="Normal"/>
              <w:snapToGrid w:val="false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实验四　状态转换图用例设计（第 4 周）</w:t>
            </w:r>
          </w:p>
          <w:p>
            <w:pPr>
              <w:pStyle w:val="Normal"/>
              <w:snapToGrid w:val="false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实验五　测试计划与流程设计（第 5 周）</w:t>
            </w:r>
          </w:p>
          <w:p>
            <w:pPr>
              <w:pStyle w:val="Normal"/>
              <w:snapToGrid w:val="false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实验六　JUnit 单元测试与持续集成（第 6 周）</w:t>
            </w:r>
          </w:p>
          <w:p>
            <w:pPr>
              <w:pStyle w:val="Normal"/>
              <w:snapToGrid w:val="false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实验七　接口功能测试（第 7 周）</w:t>
            </w:r>
          </w:p>
          <w:p>
            <w:pPr>
              <w:pStyle w:val="Normal"/>
              <w:snapToGrid w:val="false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实验八　JMeter 性能压测（第 8 周）</w:t>
            </w:r>
          </w:p>
          <w:p>
            <w:pPr>
              <w:pStyle w:val="Normal"/>
              <w:snapToGrid w:val="false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实验九　本地化检查（第 9 周）</w:t>
            </w:r>
          </w:p>
          <w:p>
            <w:pPr>
              <w:pStyle w:val="Normal"/>
              <w:snapToGrid w:val="false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实验十　自动化用例与 Docker 测试环境（第 10、13 周）</w:t>
            </w:r>
          </w:p>
          <w:p>
            <w:pPr>
              <w:pStyle w:val="Normal"/>
              <w:snapToGrid w:val="false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实验十一　测试管理工具与缺陷全流程演练（第 12、13 周）</w:t>
            </w:r>
          </w:p>
          <w:p>
            <w:pPr>
              <w:pStyle w:val="Normal"/>
              <w:snapToGrid w:val="false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实验十二　系统测试执行与测试报告（第 14 周）</w:t>
            </w:r>
          </w:p>
          <w:p>
            <w:pPr>
              <w:pStyle w:val="Normal"/>
              <w:snapToGrid w:val="false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 w:val="21"/>
                <w:szCs w:val="21"/>
              </w:rPr>
              <w:t>综合实践　课程设计项目汇报答辩（第 16 周）</w:t>
            </w:r>
          </w:p>
        </w:tc>
      </w:tr>
    </w:tbl>
    <w:p>
      <w:pPr>
        <w:pStyle w:val="Normal"/>
        <w:widowControl/>
        <w:spacing w:lineRule="exact" w:line="400" w:before="50" w:after="156"/>
        <w:rPr>
          <w:szCs w:val="21"/>
        </w:rPr>
      </w:pPr>
      <w:r>
        <w:rPr>
          <w:szCs w:val="21"/>
        </w:rPr>
        <w:t>注：课程实验是指理论课程中穿插的实验教学。此表统计信息作为期末考试工作量的依据，请认真填写。</w:t>
      </w:r>
    </w:p>
    <w:p>
      <w:pPr>
        <w:pStyle w:val="Normal"/>
        <w:widowControl/>
        <w:spacing w:lineRule="exact" w:line="400" w:before="50" w:after="156"/>
        <w:rPr>
          <w:szCs w:val="21"/>
        </w:rPr>
      </w:pPr>
      <w:r>
        <w:rPr>
          <w:szCs w:val="21"/>
        </w:rPr>
        <w:t>实验教师签字：</w:t>
      </w:r>
      <w:r>
        <w:rPr>
          <w:rFonts w:cs="Times New Roman" w:eastAsia="Times New Roman"/>
          <w:szCs w:val="21"/>
        </w:rPr>
        <w:t xml:space="preserve">                                </w:t>
      </w:r>
      <w:r>
        <w:rPr>
          <w:szCs w:val="21"/>
        </w:rPr>
        <w:t>实验室主任签字：</w:t>
      </w:r>
      <w:r>
        <w:rPr>
          <w:rFonts w:cs="Times New Roman" w:eastAsia="Times New Roman"/>
          <w:szCs w:val="21"/>
        </w:rPr>
        <w:t xml:space="preserve">   </w:t>
      </w:r>
      <w:r>
        <w:br w:type="page"/>
      </w:r>
    </w:p>
    <w:sectPr>
      <w:footerReference w:type="default" r:id="rId2"/>
      <w:type w:val="nextPage"/>
      <w:pgSz w:w="11906" w:h="16838"/>
      <w:pgMar w:left="1800" w:right="1800" w:gutter="0" w:header="0" w:top="1440" w:footer="992" w:bottom="144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0" w:characterSet="windows-1252"/>
    <w:family w:val="roman"/>
    <w:pitch w:val="default"/>
  </w:font>
  <w:font w:name="Liberation Sans">
    <w:altName w:val="Arial"/>
    <w:charset w:val="01" w:characterSet="utf-8"/>
    <w:family w:val="swiss"/>
    <w:pitch w:val="variable"/>
  </w:font>
  <w:font w:name="黑体">
    <w:charset w:val="86"/>
    <w:family w:val="auto"/>
    <w:pitch w:val="default"/>
  </w:font>
  <w:font w:name="宋体">
    <w:charset w:val="86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7785" cy="126365"/>
              <wp:effectExtent l="0" t="0" r="0" b="0"/>
              <wp:wrapSquare wrapText="bothSides"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12636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4.55pt;height:9.95pt;mso-wrap-distance-left:0pt;mso-wrap-distance-right:0pt;mso-wrap-distance-top:0pt;mso-wrap-distance-bottom:0pt;margin-top:0.05pt;mso-position-vertical-relative:text;margin-left:205.4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erif SC" w:cs="Source Han Sans SC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Times New Roman" w:hAnsi="Times New Roman" w:eastAsia="宋体" w:cs="Angsana New;DejaVu Math TeX Gyre"/>
      <w:color w:val="auto"/>
      <w:kern w:val="2"/>
      <w:sz w:val="21"/>
      <w:szCs w:val="24"/>
      <w:lang w:val="en-US" w:eastAsia="zh-CN" w:bidi="th-TH"/>
    </w:rPr>
  </w:style>
  <w:style w:type="character" w:styleId="Style14">
    <w:name w:val="默认段落字体"/>
    <w:qFormat/>
    <w:rPr/>
  </w:style>
  <w:style w:type="character" w:styleId="PageNumber">
    <w:name w:val="Page Number"/>
    <w:basedOn w:val="Style14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Source Han Sans SC" w:cs="Source Han Sans SC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Source Han Sans SC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Source Han Sans SC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Source Han Sans SC"/>
    </w:rPr>
  </w:style>
  <w:style w:type="paragraph" w:styleId="Style15">
    <w:name w:val="批注框文本"/>
    <w:basedOn w:val="Normal"/>
    <w:qFormat/>
    <w:pPr/>
    <w:rPr>
      <w:sz w:val="18"/>
      <w:szCs w:val="18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start"/>
    </w:pPr>
    <w:rPr>
      <w:rFonts w:cs="Times New Roman"/>
      <w:sz w:val="18"/>
      <w:szCs w:val="18"/>
      <w:lang w:bidi="ar-SA"/>
    </w:rPr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LibreOffice/24.2.0.3$Linux_X86_64 LibreOffice_project/420$Build-3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2017-07-07T08:48:00Z</dcterms:created>
  <dc:creator>雨林木风</dc:creator>
  <dc:description/>
  <dc:language>zh-CN</dc:language>
  <cp:lastModifiedBy>Zhong Xiaobo</cp:lastModifiedBy>
  <cp:lastPrinted>2017-07-07T08:23:00Z</cp:lastPrinted>
  <dcterms:modified xsi:type="dcterms:W3CDTF">2026-05-21T11:18:29Z</dcterms:modified>
  <cp:revision>3</cp:revision>
  <dc:subject/>
  <dc:title>附件2：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F06A425A49044BAA9F6D76FC01ECCC8F_12</vt:lpwstr>
  </property>
  <property fmtid="{D5CDD505-2E9C-101B-9397-08002B2CF9AE}" pid="3" name="KSOProductBuildVer">
    <vt:lpwstr>2052-12.1.0.20305</vt:lpwstr>
  </property>
  <property fmtid="{D5CDD505-2E9C-101B-9397-08002B2CF9AE}" pid="4" name="KSOTemplateDocerSaveRecord">
    <vt:lpwstr>eyJoZGlkIjoiZjBjNzhiYWFjNzJiYzNiMjhhNTgwZTRkOWU3OGIwZGIiLCJ1c2VySWQiOiIyNDU1NjcxMDQifQ==</vt:lpwstr>
  </property>
</Properties>
</file>