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5586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基于AI助推的高职图书馆阅读推广策略研究</w:t>
      </w:r>
    </w:p>
    <w:p w14:paraId="624F8D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作者姓名¹</w:t>
      </w:r>
      <w:r>
        <w:rPr>
          <w:rFonts w:hint="default" w:ascii="Segoe UI" w:hAnsi="Segoe UI" w:eastAsia="Segoe UI" w:cs="Segoe UI"/>
          <w:i w:val="0"/>
          <w:iCs w:val="0"/>
          <w:caps w:val="0"/>
          <w:color w:val="1A2029"/>
          <w:spacing w:val="0"/>
          <w:sz w:val="24"/>
          <w:szCs w:val="24"/>
          <w:bdr w:val="none" w:color="auto" w:sz="0" w:space="0"/>
          <w:shd w:val="clear" w:fill="FFFFFF"/>
          <w:vertAlign w:val="baseline"/>
        </w:rPr>
        <w:br w:type="textWrapping"/>
      </w:r>
      <w:r>
        <w:rPr>
          <w:rFonts w:hint="default" w:ascii="Segoe UI" w:hAnsi="Segoe UI" w:eastAsia="Segoe UI" w:cs="Segoe UI"/>
          <w:i w:val="0"/>
          <w:iCs w:val="0"/>
          <w:caps w:val="0"/>
          <w:color w:val="1A2029"/>
          <w:spacing w:val="0"/>
          <w:sz w:val="24"/>
          <w:szCs w:val="24"/>
          <w:bdr w:val="none" w:color="auto" w:sz="0" w:space="0"/>
          <w:shd w:val="clear" w:fill="FFFFFF"/>
          <w:vertAlign w:val="baseline"/>
        </w:rPr>
        <w:t>（1. XX职业技术学院 图书馆，广东 XX市 5XXXXX）</w:t>
      </w:r>
    </w:p>
    <w:p w14:paraId="6785E73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摘要：</w:t>
      </w:r>
      <w:r>
        <w:rPr>
          <w:rFonts w:hint="default" w:ascii="Segoe UI" w:hAnsi="Segoe UI" w:eastAsia="Segoe UI" w:cs="Segoe UI"/>
          <w:i w:val="0"/>
          <w:iCs w:val="0"/>
          <w:caps w:val="0"/>
          <w:color w:val="1A2029"/>
          <w:spacing w:val="0"/>
          <w:sz w:val="24"/>
          <w:szCs w:val="24"/>
          <w:bdr w:val="none" w:color="auto" w:sz="0" w:space="0"/>
          <w:shd w:val="clear" w:fill="FFFFFF"/>
          <w:vertAlign w:val="baseline"/>
        </w:rPr>
        <w:t> 高职图书馆阅读推广面临阅读意愿低迷、专业阅读失焦与行为维持困难三重困境，其根源在于阅读行为"高认知门槛—低即时回报—缺乏持续反馈"的结构性矛盾。引入行为经济学的助推理论，系统分析六大助推原则与人工智能技术功能的对应关系，构建"感知—决策—行动—反馈"四层闭环架构，提出个性化默认推荐、社交证明阅读圈、游戏化激励、情境化提示和反馈优化五大策略，并结合大语言模型技术提出对话式助推的升级路径。基于心理抗拒理论与自我决定理论论证策略的适用边界，按阅读参与度与阅读指向两个维度划分四类阅读者并匹配差异化策略组合；针对信息茧房风险，提出基于ε-greedy策略的推荐多样性约束机制，为高职图书馆智能化阅读推广提供理论框架与伦理治理方案。</w:t>
      </w:r>
    </w:p>
    <w:p w14:paraId="0B7E5B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关键词：</w:t>
      </w:r>
      <w:r>
        <w:rPr>
          <w:rFonts w:hint="default" w:ascii="Segoe UI" w:hAnsi="Segoe UI" w:eastAsia="Segoe UI" w:cs="Segoe UI"/>
          <w:i w:val="0"/>
          <w:iCs w:val="0"/>
          <w:caps w:val="0"/>
          <w:color w:val="1A2029"/>
          <w:spacing w:val="0"/>
          <w:sz w:val="24"/>
          <w:szCs w:val="24"/>
          <w:bdr w:val="none" w:color="auto" w:sz="0" w:space="0"/>
          <w:shd w:val="clear" w:fill="FFFFFF"/>
          <w:vertAlign w:val="baseline"/>
        </w:rPr>
        <w:t> 助推理论；人工智能；高职图书馆；阅读推广；数字化助推；大语言模型</w:t>
      </w:r>
    </w:p>
    <w:p w14:paraId="0A9AB6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Research on Reading Promotion Strategies of Higher Vocational College Libraries Based on AI Nudging</w:t>
      </w:r>
    </w:p>
    <w:p w14:paraId="23E2B4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(作者姓名拼音)，(单位英文名)，Guangdong XX XXXXXX，China</w:t>
      </w:r>
    </w:p>
    <w:p w14:paraId="4E2585B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Abstract:</w:t>
      </w:r>
      <w:r>
        <w:rPr>
          <w:rFonts w:hint="default" w:ascii="Segoe UI" w:hAnsi="Segoe UI" w:eastAsia="Segoe UI" w:cs="Segoe UI"/>
          <w:i w:val="0"/>
          <w:iCs w:val="0"/>
          <w:caps w:val="0"/>
          <w:color w:val="1A2029"/>
          <w:spacing w:val="0"/>
          <w:sz w:val="24"/>
          <w:szCs w:val="24"/>
          <w:bdr w:val="none" w:color="auto" w:sz="0" w:space="0"/>
          <w:shd w:val="clear" w:fill="FFFFFF"/>
          <w:vertAlign w:val="baseline"/>
        </w:rPr>
        <w:t> Reading promotion in higher vocational college libraries is confronted with three dilemmas: low reading willingness, unfocused professional reading, and difficulty in behavior maintenance, which originate from the structural contradiction of “high cognitive threshold, low immediate reward, and lack of continuous feedback” in reading behavior. Based on nudge theory from behavioral economics, this study systematically maps the six nudging principles to the functions of artificial intelligence (AI) technologies, constructs a four-layer closed-loop architecture of “perception-decision-action-feedback”, and proposes five strategies: personalized default recommendation, social-proof reading circles, gamified incentives, contextual prompts, and feedback optimization. An upgraded path of conversational nudging is further proposed with large language model technology. The applicability boundaries of the strategies are argued from the perspectives of psychological reactance theory and self-determination theory. Four reader types are differentiated by reading participation and reading orientation to match differentiated strategy combinations. To prevent filter bubbles, a recommendation diversity constraint mechanism based on the ε-greedy strategy is proposed, providing a theoretical framework and ethical governance scheme for intelligent reading promotion.</w:t>
      </w:r>
    </w:p>
    <w:p w14:paraId="3D4F72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Key words:</w:t>
      </w:r>
      <w:r>
        <w:rPr>
          <w:rFonts w:hint="default" w:ascii="Segoe UI" w:hAnsi="Segoe UI" w:eastAsia="Segoe UI" w:cs="Segoe UI"/>
          <w:i w:val="0"/>
          <w:iCs w:val="0"/>
          <w:caps w:val="0"/>
          <w:color w:val="1A2029"/>
          <w:spacing w:val="0"/>
          <w:sz w:val="24"/>
          <w:szCs w:val="24"/>
          <w:bdr w:val="none" w:color="auto" w:sz="0" w:space="0"/>
          <w:shd w:val="clear" w:fill="FFFFFF"/>
          <w:vertAlign w:val="baseline"/>
        </w:rPr>
        <w:t> nudge theory; artificial intelligence; higher vocational college library; reading promotion; digital nudging; large language model</w:t>
      </w:r>
    </w:p>
    <w:p w14:paraId="38F79F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1 引言</w:t>
      </w:r>
    </w:p>
    <w:p w14:paraId="21F260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1.1 研究背景</w:t>
      </w:r>
    </w:p>
    <w:p w14:paraId="15E9F84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阅读是高职学生综合素质培养的重要途径。2025年12月国务院令第823号公布《全民阅读促进条例》，明确提出"高等学校应当将阅读作为重要的教育教学方式，组织学生开展多种形式的阅读活动"[1]，为高职院校阅读推广提供了政策依据。然而，当前高职图书馆阅读推广普遍面临效果不佳的困境，传统策略多依赖行政推动和单向宣传，难以从行为决策机制层面解决问题。与此同时，以ChatGPT为代表的大语言模型（Large Language Model, LLM）的涌现，使人工智能从"推荐匹配"迈向"理解与生成"，为阅读推广提供了全新的技术范式。如何将AI技术与行为科学理论有机结合，成为提升阅读推广效能的关键议题。</w:t>
      </w:r>
    </w:p>
    <w:p w14:paraId="252B8B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1.2 研究问题</w:t>
      </w:r>
    </w:p>
    <w:p w14:paraId="03189A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高职图书馆阅读推广面临三重困境：一是阅读意愿低迷，大量学生缺乏主动阅读动力；二是专业阅读失焦，学生在海量资源中难以聚焦专业文献，大量转向低门槛的休闲读物；三是行为维持困难，即使启动阅读也难以形成持续习惯。从行为科学视角看，这三重困境的根源在于阅读行为的"高认知门槛—低即时回报—缺乏持续反馈"结构性矛盾：专业阅读的认知成本显著高于休闲阅读，其收益又具有显著的滞后性，而传统推广方式恰恰缺少即时反馈与持续激励机制。本文试图回答：助推理论如何与AI技术结合以应对上述结构性矛盾？不同阅读类型的读者应匹配何种助推策略？策略的适用边界与伦理约束如何界定？</w:t>
      </w:r>
    </w:p>
    <w:p w14:paraId="2FEC3E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1.3 相关研究述评</w:t>
      </w:r>
    </w:p>
    <w:p w14:paraId="278244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1.3.1 助推理论与数字化助推研究</w:t>
      </w:r>
    </w:p>
    <w:p w14:paraId="6DEC41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助推（Nudge）概念由Thaler和Sunstein于2008年系统提出[2]，指在不限制选择自由的前提下，通过选择架构设计引导人们做出更优决策。Kahneman的双系统理论为其提供了认知基础：系统1的直觉思维易受情境影响，助推正是通过优化系统1的决策环境来改善行为结果[3]。Weinmann等将助推概念引入数字化情境，提出"数字化助推"（Digital Nudging），即在数字化选择架构中利用界面元素设计引导用户行为[4]；Mirsch等进一步提出了系统化的设计框架[5]。余译青等采用"谁—什么—为什么—如何"四维度框架解析数字化助推概念，识别出21种可嵌入人机交互界面的助推工具[6]。Schemmer等从伦理视角审视数字化助推，提出"自主性兼容"原则，强调助推应尊重用户的选择自由[7]。值得注意的是，数字化助推相较于传统助推具有三个显著特征：可规模化、可个性化和可迭代。在大语言模型时代，数字化助推进一步从"界面元素设计"升级为"智能对话引导"，AI不仅能呈现选择架构，还能通过自然语言理解用户的阅读意图与认知障碍，实现更精准的个性化助推。</w:t>
      </w:r>
    </w:p>
    <w:p w14:paraId="1D5CB9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1.3.2 AI赋能图书馆服务研究</w:t>
      </w:r>
    </w:p>
    <w:p w14:paraId="246267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人工智能技术在图书馆领域的应用研究近年来快速增长。邵波等以南京大学为例系统总结了智慧图书馆建设进程与发展方向[8]；刘宏伟等探讨了利用人工智能技术提升大学图书馆支撑个性化学习能力的路径[9]；杨峰则从批判视角分析了生成式人工智能的智能鸿沟问题[10]。在实践层面，福建省图书馆于2024年发布"海丝文化大语言模型"，以馆藏文献为语料提供AI知识推送和数字人互动问答[11]，标志着图书馆AI应用从检索推荐向智能对话的范式跃迁。然而，将大语言模型与行为助推理论系统整合应用于阅读推广的研究仍较为匮乏。</w:t>
      </w:r>
    </w:p>
    <w:p w14:paraId="31D7664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1.3.3 高职学生阅读行为与推广研究</w:t>
      </w:r>
    </w:p>
    <w:p w14:paraId="4C8B19F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中国新闻出版研究院发布的第二十次全国国民阅读调查显示，我国成年国民数字化阅读方式接触率已达80.1%[12]。高职学生作为数字原住民群体，其阅读行为呈现碎片化、浅层化和功利化特征。在阅读推广方面，传统书目推荐、阅读学分制等方式仍占主导但效果有限。将行为科学理论与AI技术系统整合应用于高职阅读推广的研究尚显不足，有待探索性填补。</w:t>
      </w:r>
    </w:p>
    <w:p w14:paraId="174848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2 理论基础</w:t>
      </w:r>
    </w:p>
    <w:p w14:paraId="73B328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2.1 助推理论的核心原则</w:t>
      </w:r>
    </w:p>
    <w:p w14:paraId="5C9773E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Thaler和Sunstein提出助推理论的核心理念为"自由主义的温和专制主义"：通过改变"选择架构"（Choice Architecture），在不禁止任何选项、不显著改变经济激励的前提下，可预测地引导人们做出特定行为，并以"NUDGES"概括六大设计原则[2]：（1）动机（iNcentives），让选择动机更加显著，激发决策相关的内在需求与外部诱因；（2）理解权衡（Understand mappings），帮助用户在选项与预期结果之间建立清晰关联；（3）默认选项（Defaults），将最利于目标实现的选项设为默认值，利用惯性思维简化决策；（4）给予反馈（Give feedback），提供及时、轻量化的信息反馈；（5）预判错误（Expect error），预留"容错空间"，允许用户出错并提供扶正方法；（6）结构优化（Structure complex choices），将复杂的选择体系变得简单。这些原则为图书馆在不强制干预的前提下引导学生阅读提供了心理学依据。</w:t>
      </w:r>
    </w:p>
    <w:p w14:paraId="2638E6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2.2 数字化助推：从人工架构到算法架构</w:t>
      </w:r>
    </w:p>
    <w:p w14:paraId="7A3E6D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数字化助推构成了连接助推理论核心原则与AI技术功能的关键理论桥梁——它既继承了助推理论"不限制选择自由"的核心理念，又为AI技术的介入提供了可操作的理论接口。传统物理场景中的选择架构（如食堂菜品排序、器官捐献默认选项）依赖人工设计，其规模化和个性化能力有限；AI技术的介入使选择架构从"人工设计"升级为"算法设计"：AI的数据分析能力对应"感知"环节，能够识别用户行为模式；推荐算法对应"决策"环节，能够设计个性化选择架构；交互能力对应"行动"环节，能够实现情境化干预；学习能力对应"反馈"环节，能够持续优化助推策略。在大语言模型背景下，AI还能通过自然语言理解与生成实现"对话式助推"——不仅呈现推荐结果，还能以通俗语言解读专业书籍的核心价值，回应学生的阅读困惑，并根据对话中暴露的偏好动态调整推荐策略，使助推过程隐匿于日常对话之中，显著降低用户的心理抗拒感知。</w:t>
      </w:r>
    </w:p>
    <w:p w14:paraId="190BF02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2.3 补充理论视角</w:t>
      </w:r>
    </w:p>
    <w:p w14:paraId="7E5C7C6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(1) 心理抗拒理论。</w:t>
      </w:r>
      <w:r>
        <w:rPr>
          <w:rFonts w:hint="default" w:ascii="Segoe UI" w:hAnsi="Segoe UI" w:eastAsia="Segoe UI" w:cs="Segoe UI"/>
          <w:i w:val="0"/>
          <w:iCs w:val="0"/>
          <w:caps w:val="0"/>
          <w:color w:val="1A2029"/>
          <w:spacing w:val="0"/>
          <w:sz w:val="24"/>
          <w:szCs w:val="24"/>
          <w:bdr w:val="none" w:color="auto" w:sz="0" w:space="0"/>
          <w:shd w:val="clear" w:fill="FFFFFF"/>
          <w:vertAlign w:val="baseline"/>
        </w:rPr>
        <w:t> Brehm提出的心理抗拒理论指出，当个体感知到自身的选择自由受到威胁时，会产生抗拒动机，倾向于恢复被剥夺的自由[13]。这对助推策略设计具有重要警示意义：若默认推荐的干预强度过高，用户可能产生"反向助推"效应，不仅拒绝推荐内容，还可能降低对图书馆系统的整体信任。因此，助推策略必须遵循"轻推"原则，确保用户的感知选择自由不被侵犯。</w:t>
      </w:r>
    </w:p>
    <w:p w14:paraId="14D9A1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(2) 自我决定理论。</w:t>
      </w:r>
      <w:r>
        <w:rPr>
          <w:rFonts w:hint="default" w:ascii="Segoe UI" w:hAnsi="Segoe UI" w:eastAsia="Segoe UI" w:cs="Segoe UI"/>
          <w:i w:val="0"/>
          <w:iCs w:val="0"/>
          <w:caps w:val="0"/>
          <w:color w:val="1A2029"/>
          <w:spacing w:val="0"/>
          <w:sz w:val="24"/>
          <w:szCs w:val="24"/>
          <w:bdr w:val="none" w:color="auto" w:sz="0" w:space="0"/>
          <w:shd w:val="clear" w:fill="FFFFFF"/>
          <w:vertAlign w:val="baseline"/>
        </w:rPr>
        <w:t> Deci和Ryan提出的自我决定理论揭示，满足自主感、胜任感和归属感三种基本心理需求是促进外部动机内化为内部动机的关键条件[14]。这为游戏化激励策略提供了设计指引：积分和徽章作为外在激励可启动阅读参与，但要实现行为持续，需逐步将外在调节内化为认同调节，让学生在完成专业相关阅读时感受到胜任感和自主选择权，而非单纯按阅读时长赋分。</w:t>
      </w:r>
    </w:p>
    <w:p w14:paraId="1ECA3D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2.4 AI技术与助推理论的内在契合</w:t>
      </w:r>
    </w:p>
    <w:p w14:paraId="1B2E62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AI技术与助推理论存在天然的契合性。协同过滤算法可为每位学生动态生成个性化默认书单，对应"默认选项"原则；聚类算法可自动识别同兴趣阅读社群，对应"结构优化"原则；数据可视化可实时追踪阅读行为变化，对应"给予反馈"原则。这种契合性的深层逻辑在于：助推理论的核心是选择架构设计，而AI使选择架构的设计具备数据驱动、动态更新与大规模覆盖的能力，这是传统人工手段无法比拟的。基于上述契合性分析可以预期：将NUDGES原则与AI技术系统结合，能够有效应对高职学生阅读行为的结构性矛盾。</w:t>
      </w:r>
    </w:p>
    <w:p w14:paraId="623F11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3 高职阅读推广三重困境的理论阐释</w:t>
      </w:r>
    </w:p>
    <w:p w14:paraId="5536F6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3.1 阅读意愿低迷：即时满足与延迟回报的张力</w:t>
      </w:r>
    </w:p>
    <w:p w14:paraId="6A3094E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从行为经济学视角看，阅读行为的收益具有显著滞后性——专业知识的积累需要持续投入才能显现效果，而数字时代的碎片化娱乐内容则能提供即时的感官满足。在缺乏外部干预的情况下，学生的时间分配自然向即时满足选项倾斜，阅读意愿随之走低。传统"讲座+书单"式推广只提供了阅读的理由，而未降低阅读的启动成本，因而难以改变学生的行为选择。</w:t>
      </w:r>
    </w:p>
    <w:p w14:paraId="0750E3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3.2 专业阅读失焦：认知门槛与选择架构失衡</w:t>
      </w:r>
    </w:p>
    <w:p w14:paraId="1187C76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高职学生回避专业文献的成因是多维度的：其一是认知门槛效应，专业图书的阅读成本显著高于文学类读物，学生倾向于选择认知投入最低的选项；其二是馆藏结构因素，专业图书更新滞后、复本不足可能加剧学生的外流；其三是阅读目的的娱乐化倾向，在缺乏引导的情况下，借阅行为自然滑向休闲阅读。上述现象的共性在于：图书馆面向学生呈现的是未经架构设计的"海量平面书单"，学生面对复杂选择时缺乏降低认知负荷的引导锚点，这正是"结构复杂选择"原则缺位的典型表现。</w:t>
      </w:r>
    </w:p>
    <w:p w14:paraId="2543B7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3.3 行为维持困难：外部动机难以内化</w:t>
      </w:r>
    </w:p>
    <w:p w14:paraId="3C0FE20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即使初始阅读行为得以启动，其维持仍面临双重障碍：一是即时反馈缺失，专业阅读的成效难以被即时感知，激励链条在行为发生与结果显现之间断裂；二是动机类型错位，以学分、任务为主要驱动的外部调节若未转化为认同调节，一旦外部激励撤除，阅读行为即快速回落。依据自我决定理论[14]，行为维持的关键在于满足自主感、胜任感与归属感，而这恰是传统推广机制的设计盲区。上述三重困境相互叠加，构成本文策略体系设计的逻辑起点。</w:t>
      </w:r>
    </w:p>
    <w:p w14:paraId="4D4FC5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4 基于AI助推的阅读推广策略体系</w:t>
      </w:r>
    </w:p>
    <w:p w14:paraId="0D951E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4.1 "感知—决策—行动—反馈"四层闭环架构</w:t>
      </w:r>
    </w:p>
    <w:p w14:paraId="7CDF1B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针对三重困境，本文构建"数据驱动、情境感知、智能干预"的动态阅读推广生态系统，由四层闭环架构组成。</w:t>
      </w:r>
    </w:p>
    <w:p w14:paraId="367D1A0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感知层作为系统的"神经末梢"，依托全域数据中台打破信息孤岛，实时融合显性行为数据（借阅记录、检索流、馆内轨迹）、隐性情境数据（课程表、实训进度、技能图谱）及心理偏好数据（社交情感倾向、兴趣标签），构建动态更新的"全息阅读画像"，深度洞察学生"为何读、何时读、需何书"。</w:t>
      </w:r>
    </w:p>
    <w:p w14:paraId="3FC719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决策层作为系统的"智慧大脑"，运用行为经济学原理动态计算最优助推策略：通过时间序列模型预判潜在需求，利用默认效应优化排序，应用框架效应调整信息呈现方式，实现从"人找书"到"书找人"的范式转变。</w:t>
      </w:r>
    </w:p>
    <w:p w14:paraId="6E2B78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行动层作为系统的"执行手脚"，将抽象决策转化为具体的低摩擦干预动作：嵌入学生高频生活场景，利用微时刻触发、社会规范引导及游戏化路径设计，消除行动阻力，激发即时阅读行为。</w:t>
      </w:r>
    </w:p>
    <w:p w14:paraId="5E2135A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反馈层作为系统的"进化引擎"，针对阅读收益滞后性痛点，建立高频、即时、多元的反馈回路，通过即时成就感确认、动态难度调整及数据回流迭代，推动阅读行为从"外部助推"向"内部习惯"转化。</w:t>
      </w:r>
    </w:p>
    <w:p w14:paraId="58FEDC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四层架构形成"情境感知触发需求→智能架构优化决策→低门槛引导行动→即时反馈强化习惯"的良性螺旋上升闭环，五大具体策略分别锚定于决策、行动与反馈三大关键节点。</w:t>
      </w:r>
    </w:p>
    <w:p w14:paraId="306C20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4.2 助推原则与AI技术的功能对应</w:t>
      </w:r>
    </w:p>
    <w:p w14:paraId="60FDB6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将助推原则从物理空间的"人工选择架构设计"迁移至数字环境的"算法选择架构设计"，需明确每条原则由何种AI技术承载。六大原则与AI技术的对应关系见表1。</w:t>
      </w:r>
    </w:p>
    <w:p w14:paraId="7D2AD1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表1 助推原则与AI技术功能对应关系</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200"/>
        <w:gridCol w:w="2281"/>
        <w:gridCol w:w="2670"/>
        <w:gridCol w:w="1830"/>
      </w:tblGrid>
      <w:tr w14:paraId="7F4EC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0" w:type="auto"/>
            <w:tcBorders>
              <w:top w:val="nil"/>
              <w:left w:val="nil"/>
              <w:bottom w:val="single" w:color="EEEEEE" w:sz="6" w:space="0"/>
              <w:right w:val="single" w:color="EEEEEE" w:sz="6" w:space="0"/>
            </w:tcBorders>
            <w:shd w:val="clear"/>
            <w:tcMar>
              <w:top w:w="180" w:type="dxa"/>
              <w:left w:w="180" w:type="dxa"/>
              <w:bottom w:w="180" w:type="dxa"/>
              <w:right w:w="180" w:type="dxa"/>
            </w:tcMar>
            <w:vAlign w:val="top"/>
          </w:tcPr>
          <w:p w14:paraId="2F06AE88">
            <w:pPr>
              <w:keepNext w:val="0"/>
              <w:keepLines w:val="0"/>
              <w:widowControl/>
              <w:suppressLineNumbers w:val="0"/>
              <w:spacing w:before="0" w:beforeAutospacing="0" w:after="0" w:afterAutospacing="0" w:line="360" w:lineRule="atLeast"/>
              <w:ind w:left="0" w:right="0"/>
              <w:jc w:val="center"/>
              <w:textAlignment w:val="top"/>
              <w:rPr>
                <w:rFonts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助推原则</w:t>
            </w:r>
          </w:p>
        </w:tc>
        <w:tc>
          <w:tcPr>
            <w:tcW w:w="0" w:type="auto"/>
            <w:tcBorders>
              <w:top w:val="nil"/>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7145F9C8">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行为机制</w:t>
            </w:r>
          </w:p>
        </w:tc>
        <w:tc>
          <w:tcPr>
            <w:tcW w:w="0" w:type="auto"/>
            <w:tcBorders>
              <w:top w:val="nil"/>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282201FB">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AI技术功能</w:t>
            </w:r>
          </w:p>
        </w:tc>
        <w:tc>
          <w:tcPr>
            <w:tcW w:w="0" w:type="auto"/>
            <w:tcBorders>
              <w:top w:val="nil"/>
              <w:left w:val="single" w:color="EEEEEE" w:sz="6" w:space="0"/>
              <w:bottom w:val="single" w:color="EEEEEE" w:sz="6" w:space="0"/>
              <w:right w:val="nil"/>
            </w:tcBorders>
            <w:shd w:val="clear"/>
            <w:tcMar>
              <w:top w:w="180" w:type="dxa"/>
              <w:left w:w="180" w:type="dxa"/>
              <w:bottom w:w="180" w:type="dxa"/>
              <w:right w:w="180" w:type="dxa"/>
            </w:tcMar>
            <w:vAlign w:val="top"/>
          </w:tcPr>
          <w:p w14:paraId="20CF3CC6">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策略应用</w:t>
            </w:r>
          </w:p>
        </w:tc>
      </w:tr>
      <w:tr w14:paraId="3FC93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EEEEEE" w:sz="6" w:space="0"/>
              <w:left w:val="nil"/>
              <w:bottom w:val="single" w:color="EEEEEE" w:sz="6" w:space="0"/>
              <w:right w:val="single" w:color="EEEEEE" w:sz="6" w:space="0"/>
            </w:tcBorders>
            <w:shd w:val="clear"/>
            <w:tcMar>
              <w:top w:w="180" w:type="dxa"/>
              <w:left w:w="180" w:type="dxa"/>
              <w:bottom w:w="180" w:type="dxa"/>
              <w:right w:w="180" w:type="dxa"/>
            </w:tcMar>
            <w:vAlign w:val="top"/>
          </w:tcPr>
          <w:p w14:paraId="074BDC04">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默认选项</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15B0C3CE">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接受预设倾向</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5EA92A55">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协同过滤与内容推荐算法</w:t>
            </w:r>
          </w:p>
        </w:tc>
        <w:tc>
          <w:tcPr>
            <w:tcW w:w="0" w:type="auto"/>
            <w:tcBorders>
              <w:top w:val="single" w:color="EEEEEE" w:sz="6" w:space="0"/>
              <w:left w:val="single" w:color="EEEEEE" w:sz="6" w:space="0"/>
              <w:bottom w:val="single" w:color="EEEEEE" w:sz="6" w:space="0"/>
              <w:right w:val="nil"/>
            </w:tcBorders>
            <w:shd w:val="clear"/>
            <w:tcMar>
              <w:top w:w="180" w:type="dxa"/>
              <w:left w:w="180" w:type="dxa"/>
              <w:bottom w:w="180" w:type="dxa"/>
              <w:right w:w="180" w:type="dxa"/>
            </w:tcMar>
            <w:vAlign w:val="top"/>
          </w:tcPr>
          <w:p w14:paraId="50F9D6FB">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个性化默认推荐</w:t>
            </w:r>
          </w:p>
        </w:tc>
      </w:tr>
      <w:tr w14:paraId="07B41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EEEEEE" w:sz="6" w:space="0"/>
              <w:left w:val="nil"/>
              <w:bottom w:val="single" w:color="EEEEEE" w:sz="6" w:space="0"/>
              <w:right w:val="single" w:color="EEEEEE" w:sz="6" w:space="0"/>
            </w:tcBorders>
            <w:shd w:val="clear" w:color="auto" w:fill="F6F8FA"/>
            <w:tcMar>
              <w:top w:w="180" w:type="dxa"/>
              <w:left w:w="180" w:type="dxa"/>
              <w:bottom w:w="180" w:type="dxa"/>
              <w:right w:w="180" w:type="dxa"/>
            </w:tcMar>
            <w:vAlign w:val="top"/>
          </w:tcPr>
          <w:p w14:paraId="171DDFE5">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理解权衡</w:t>
            </w:r>
          </w:p>
        </w:tc>
        <w:tc>
          <w:tcPr>
            <w:tcW w:w="0" w:type="auto"/>
            <w:tcBorders>
              <w:top w:val="single" w:color="EEEEEE" w:sz="6" w:space="0"/>
              <w:left w:val="single" w:color="EEEEEE" w:sz="6" w:space="0"/>
              <w:bottom w:val="single" w:color="EEEEEE" w:sz="6" w:space="0"/>
              <w:right w:val="single" w:color="EEEEEE" w:sz="6" w:space="0"/>
            </w:tcBorders>
            <w:shd w:val="clear" w:color="auto" w:fill="F6F8FA"/>
            <w:tcMar>
              <w:top w:w="180" w:type="dxa"/>
              <w:left w:w="180" w:type="dxa"/>
              <w:bottom w:w="180" w:type="dxa"/>
              <w:right w:w="180" w:type="dxa"/>
            </w:tcMar>
            <w:vAlign w:val="top"/>
          </w:tcPr>
          <w:p w14:paraId="5D58E332">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改善选项—结果映射</w:t>
            </w:r>
          </w:p>
        </w:tc>
        <w:tc>
          <w:tcPr>
            <w:tcW w:w="0" w:type="auto"/>
            <w:tcBorders>
              <w:top w:val="single" w:color="EEEEEE" w:sz="6" w:space="0"/>
              <w:left w:val="single" w:color="EEEEEE" w:sz="6" w:space="0"/>
              <w:bottom w:val="single" w:color="EEEEEE" w:sz="6" w:space="0"/>
              <w:right w:val="single" w:color="EEEEEE" w:sz="6" w:space="0"/>
            </w:tcBorders>
            <w:shd w:val="clear" w:color="auto" w:fill="F6F8FA"/>
            <w:tcMar>
              <w:top w:w="180" w:type="dxa"/>
              <w:left w:w="180" w:type="dxa"/>
              <w:bottom w:w="180" w:type="dxa"/>
              <w:right w:w="180" w:type="dxa"/>
            </w:tcMar>
            <w:vAlign w:val="top"/>
          </w:tcPr>
          <w:p w14:paraId="5B6F0F19">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阅读水平评估与对标模型</w:t>
            </w:r>
          </w:p>
        </w:tc>
        <w:tc>
          <w:tcPr>
            <w:tcW w:w="0" w:type="auto"/>
            <w:tcBorders>
              <w:top w:val="single" w:color="EEEEEE" w:sz="6" w:space="0"/>
              <w:left w:val="single" w:color="EEEEEE" w:sz="6" w:space="0"/>
              <w:bottom w:val="single" w:color="EEEEEE" w:sz="6" w:space="0"/>
              <w:right w:val="nil"/>
            </w:tcBorders>
            <w:shd w:val="clear" w:color="auto" w:fill="F6F8FA"/>
            <w:tcMar>
              <w:top w:w="180" w:type="dxa"/>
              <w:left w:w="180" w:type="dxa"/>
              <w:bottom w:w="180" w:type="dxa"/>
              <w:right w:w="180" w:type="dxa"/>
            </w:tcMar>
            <w:vAlign w:val="top"/>
          </w:tcPr>
          <w:p w14:paraId="66971EE3">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情境化提示</w:t>
            </w:r>
          </w:p>
        </w:tc>
      </w:tr>
      <w:tr w14:paraId="0B782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EEEEEE" w:sz="6" w:space="0"/>
              <w:left w:val="nil"/>
              <w:bottom w:val="single" w:color="EEEEEE" w:sz="6" w:space="0"/>
              <w:right w:val="single" w:color="EEEEEE" w:sz="6" w:space="0"/>
            </w:tcBorders>
            <w:shd w:val="clear"/>
            <w:tcMar>
              <w:top w:w="180" w:type="dxa"/>
              <w:left w:w="180" w:type="dxa"/>
              <w:bottom w:w="180" w:type="dxa"/>
              <w:right w:w="180" w:type="dxa"/>
            </w:tcMar>
            <w:vAlign w:val="top"/>
          </w:tcPr>
          <w:p w14:paraId="55B38FDA">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给予反馈</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0BCA9E45">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行为反馈强化</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36C5E2E1">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实时数据追踪与可视化</w:t>
            </w:r>
          </w:p>
        </w:tc>
        <w:tc>
          <w:tcPr>
            <w:tcW w:w="0" w:type="auto"/>
            <w:tcBorders>
              <w:top w:val="single" w:color="EEEEEE" w:sz="6" w:space="0"/>
              <w:left w:val="single" w:color="EEEEEE" w:sz="6" w:space="0"/>
              <w:bottom w:val="single" w:color="EEEEEE" w:sz="6" w:space="0"/>
              <w:right w:val="nil"/>
            </w:tcBorders>
            <w:shd w:val="clear"/>
            <w:tcMar>
              <w:top w:w="180" w:type="dxa"/>
              <w:left w:w="180" w:type="dxa"/>
              <w:bottom w:w="180" w:type="dxa"/>
              <w:right w:w="180" w:type="dxa"/>
            </w:tcMar>
            <w:vAlign w:val="top"/>
          </w:tcPr>
          <w:p w14:paraId="3D65424A">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反馈优化</w:t>
            </w:r>
          </w:p>
        </w:tc>
      </w:tr>
      <w:tr w14:paraId="35237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EEEEEE" w:sz="6" w:space="0"/>
              <w:left w:val="nil"/>
              <w:bottom w:val="single" w:color="EEEEEE" w:sz="6" w:space="0"/>
              <w:right w:val="single" w:color="EEEEEE" w:sz="6" w:space="0"/>
            </w:tcBorders>
            <w:shd w:val="clear" w:color="auto" w:fill="F6F8FA"/>
            <w:tcMar>
              <w:top w:w="180" w:type="dxa"/>
              <w:left w:w="180" w:type="dxa"/>
              <w:bottom w:w="180" w:type="dxa"/>
              <w:right w:w="180" w:type="dxa"/>
            </w:tcMar>
            <w:vAlign w:val="top"/>
          </w:tcPr>
          <w:p w14:paraId="19FD415B">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预判错误</w:t>
            </w:r>
          </w:p>
        </w:tc>
        <w:tc>
          <w:tcPr>
            <w:tcW w:w="0" w:type="auto"/>
            <w:tcBorders>
              <w:top w:val="single" w:color="EEEEEE" w:sz="6" w:space="0"/>
              <w:left w:val="single" w:color="EEEEEE" w:sz="6" w:space="0"/>
              <w:bottom w:val="single" w:color="EEEEEE" w:sz="6" w:space="0"/>
              <w:right w:val="single" w:color="EEEEEE" w:sz="6" w:space="0"/>
            </w:tcBorders>
            <w:shd w:val="clear" w:color="auto" w:fill="F6F8FA"/>
            <w:tcMar>
              <w:top w:w="180" w:type="dxa"/>
              <w:left w:w="180" w:type="dxa"/>
              <w:bottom w:w="180" w:type="dxa"/>
              <w:right w:w="180" w:type="dxa"/>
            </w:tcMar>
            <w:vAlign w:val="top"/>
          </w:tcPr>
          <w:p w14:paraId="3A73058F">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容错与纠偏</w:t>
            </w:r>
          </w:p>
        </w:tc>
        <w:tc>
          <w:tcPr>
            <w:tcW w:w="0" w:type="auto"/>
            <w:tcBorders>
              <w:top w:val="single" w:color="EEEEEE" w:sz="6" w:space="0"/>
              <w:left w:val="single" w:color="EEEEEE" w:sz="6" w:space="0"/>
              <w:bottom w:val="single" w:color="EEEEEE" w:sz="6" w:space="0"/>
              <w:right w:val="single" w:color="EEEEEE" w:sz="6" w:space="0"/>
            </w:tcBorders>
            <w:shd w:val="clear" w:color="auto" w:fill="F6F8FA"/>
            <w:tcMar>
              <w:top w:w="180" w:type="dxa"/>
              <w:left w:w="180" w:type="dxa"/>
              <w:bottom w:w="180" w:type="dxa"/>
              <w:right w:w="180" w:type="dxa"/>
            </w:tcMar>
            <w:vAlign w:val="top"/>
          </w:tcPr>
          <w:p w14:paraId="68C28103">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智能推荐纠错机制</w:t>
            </w:r>
          </w:p>
        </w:tc>
        <w:tc>
          <w:tcPr>
            <w:tcW w:w="0" w:type="auto"/>
            <w:tcBorders>
              <w:top w:val="single" w:color="EEEEEE" w:sz="6" w:space="0"/>
              <w:left w:val="single" w:color="EEEEEE" w:sz="6" w:space="0"/>
              <w:bottom w:val="single" w:color="EEEEEE" w:sz="6" w:space="0"/>
              <w:right w:val="nil"/>
            </w:tcBorders>
            <w:shd w:val="clear" w:color="auto" w:fill="F6F8FA"/>
            <w:tcMar>
              <w:top w:w="180" w:type="dxa"/>
              <w:left w:w="180" w:type="dxa"/>
              <w:bottom w:w="180" w:type="dxa"/>
              <w:right w:w="180" w:type="dxa"/>
            </w:tcMar>
            <w:vAlign w:val="top"/>
          </w:tcPr>
          <w:p w14:paraId="10C8D740">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情境化提示</w:t>
            </w:r>
          </w:p>
        </w:tc>
      </w:tr>
      <w:tr w14:paraId="0ABD2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EEEEEE" w:sz="6" w:space="0"/>
              <w:left w:val="nil"/>
              <w:bottom w:val="single" w:color="EEEEEE" w:sz="6" w:space="0"/>
              <w:right w:val="single" w:color="EEEEEE" w:sz="6" w:space="0"/>
            </w:tcBorders>
            <w:shd w:val="clear"/>
            <w:tcMar>
              <w:top w:w="180" w:type="dxa"/>
              <w:left w:w="180" w:type="dxa"/>
              <w:bottom w:w="180" w:type="dxa"/>
              <w:right w:w="180" w:type="dxa"/>
            </w:tcMar>
            <w:vAlign w:val="top"/>
          </w:tcPr>
          <w:p w14:paraId="23F7A03B">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结构优化</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0FEE927D">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简化复杂选择</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5329BAE0">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聚类分析与社交网络分析</w:t>
            </w:r>
          </w:p>
        </w:tc>
        <w:tc>
          <w:tcPr>
            <w:tcW w:w="0" w:type="auto"/>
            <w:tcBorders>
              <w:top w:val="single" w:color="EEEEEE" w:sz="6" w:space="0"/>
              <w:left w:val="single" w:color="EEEEEE" w:sz="6" w:space="0"/>
              <w:bottom w:val="single" w:color="EEEEEE" w:sz="6" w:space="0"/>
              <w:right w:val="nil"/>
            </w:tcBorders>
            <w:shd w:val="clear"/>
            <w:tcMar>
              <w:top w:w="180" w:type="dxa"/>
              <w:left w:w="180" w:type="dxa"/>
              <w:bottom w:w="180" w:type="dxa"/>
              <w:right w:w="180" w:type="dxa"/>
            </w:tcMar>
            <w:vAlign w:val="top"/>
          </w:tcPr>
          <w:p w14:paraId="49F05AD3">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社交证明阅读圈</w:t>
            </w:r>
          </w:p>
        </w:tc>
      </w:tr>
      <w:tr w14:paraId="60C89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single" w:color="EEEEEE" w:sz="6" w:space="0"/>
              <w:left w:val="nil"/>
              <w:bottom w:val="nil"/>
              <w:right w:val="single" w:color="EEEEEE" w:sz="6" w:space="0"/>
            </w:tcBorders>
            <w:shd w:val="clear" w:color="auto" w:fill="F6F8FA"/>
            <w:tcMar>
              <w:top w:w="180" w:type="dxa"/>
              <w:left w:w="180" w:type="dxa"/>
              <w:bottom w:w="180" w:type="dxa"/>
              <w:right w:w="180" w:type="dxa"/>
            </w:tcMar>
            <w:vAlign w:val="top"/>
          </w:tcPr>
          <w:p w14:paraId="49AD2F19">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动机</w:t>
            </w:r>
          </w:p>
        </w:tc>
        <w:tc>
          <w:tcPr>
            <w:tcW w:w="0" w:type="auto"/>
            <w:tcBorders>
              <w:top w:val="single" w:color="EEEEEE" w:sz="6" w:space="0"/>
              <w:left w:val="single" w:color="EEEEEE" w:sz="6" w:space="0"/>
              <w:bottom w:val="nil"/>
              <w:right w:val="single" w:color="EEEEEE" w:sz="6" w:space="0"/>
            </w:tcBorders>
            <w:shd w:val="clear" w:color="auto" w:fill="F6F8FA"/>
            <w:tcMar>
              <w:top w:w="180" w:type="dxa"/>
              <w:left w:w="180" w:type="dxa"/>
              <w:bottom w:w="180" w:type="dxa"/>
              <w:right w:w="180" w:type="dxa"/>
            </w:tcMar>
            <w:vAlign w:val="top"/>
          </w:tcPr>
          <w:p w14:paraId="5337979D">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激发内在需求</w:t>
            </w:r>
          </w:p>
        </w:tc>
        <w:tc>
          <w:tcPr>
            <w:tcW w:w="0" w:type="auto"/>
            <w:tcBorders>
              <w:top w:val="single" w:color="EEEEEE" w:sz="6" w:space="0"/>
              <w:left w:val="single" w:color="EEEEEE" w:sz="6" w:space="0"/>
              <w:bottom w:val="nil"/>
              <w:right w:val="single" w:color="EEEEEE" w:sz="6" w:space="0"/>
            </w:tcBorders>
            <w:shd w:val="clear" w:color="auto" w:fill="F6F8FA"/>
            <w:tcMar>
              <w:top w:w="180" w:type="dxa"/>
              <w:left w:w="180" w:type="dxa"/>
              <w:bottom w:w="180" w:type="dxa"/>
              <w:right w:w="180" w:type="dxa"/>
            </w:tcMar>
            <w:vAlign w:val="top"/>
          </w:tcPr>
          <w:p w14:paraId="175ACC62">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智能推送与游戏化引擎</w:t>
            </w:r>
          </w:p>
        </w:tc>
        <w:tc>
          <w:tcPr>
            <w:tcW w:w="0" w:type="auto"/>
            <w:tcBorders>
              <w:top w:val="single" w:color="EEEEEE" w:sz="6" w:space="0"/>
              <w:left w:val="single" w:color="EEEEEE" w:sz="6" w:space="0"/>
              <w:bottom w:val="nil"/>
              <w:right w:val="nil"/>
            </w:tcBorders>
            <w:shd w:val="clear" w:color="auto" w:fill="F6F8FA"/>
            <w:tcMar>
              <w:top w:w="180" w:type="dxa"/>
              <w:left w:w="180" w:type="dxa"/>
              <w:bottom w:w="180" w:type="dxa"/>
              <w:right w:w="180" w:type="dxa"/>
            </w:tcMar>
            <w:vAlign w:val="top"/>
          </w:tcPr>
          <w:p w14:paraId="733BC8F3">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游戏化激励</w:t>
            </w:r>
          </w:p>
        </w:tc>
      </w:tr>
    </w:tbl>
    <w:p w14:paraId="1353DD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其内在逻辑为：默认选项原则与协同过滤算法天然契合，算法依据用户历史行为与同群偏好自动生成"大概率最优"的默认书单，将"预设"从人工经验升级为数据驱动；理解权衡原则对应阅读水平评估及对标模型，通过构建"当前水平—目标水平—推荐路径"的映射，使学生直观看到推荐图书与专业能力提升的量化关联；给予反馈原则与实时数据追踪及可视化结合，将阅读的长期收益转化为即时可见的成就感；预判错误原则对应智能纠错机制，在学生提交借阅请求时自动提示图书与专业方向的关联度，帮助其回归专业阅读轨道；结构优化原则由聚类与社交网络分析承载，将数万册藏书简化为有限的阅读圈层与"同专业高阅读量同学的书单"，降低认知负荷；动机原则由智能推送与游戏化引擎承载，前者使"与我相关"的感知最大化，后者通过外在激励启动参与并沿内化路径转化为内在兴趣。</w:t>
      </w:r>
    </w:p>
    <w:p w14:paraId="12360D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4.3 五大助推策略</w:t>
      </w:r>
    </w:p>
    <w:p w14:paraId="72001E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(1) 个性化默认推荐策略。</w:t>
      </w:r>
      <w:r>
        <w:rPr>
          <w:rFonts w:hint="default" w:ascii="Segoe UI" w:hAnsi="Segoe UI" w:eastAsia="Segoe UI" w:cs="Segoe UI"/>
          <w:i w:val="0"/>
          <w:iCs w:val="0"/>
          <w:caps w:val="0"/>
          <w:color w:val="1A2029"/>
          <w:spacing w:val="0"/>
          <w:sz w:val="24"/>
          <w:szCs w:val="24"/>
          <w:bdr w:val="none" w:color="auto" w:sz="0" w:space="0"/>
          <w:shd w:val="clear" w:fill="FFFFFF"/>
          <w:vertAlign w:val="baseline"/>
        </w:rPr>
        <w:t> 基于默认选项原则，利用协同过滤与内容推荐算法为不同专业学生设置个性化默认书单：学生登录图书馆系统时，首页展示基于其专业背景、借阅历史和同专业热门借阅的推荐列表。针对以休闲阅读为主的读者，系统默认展示1~2本与专业相关但叙事性强的交叉读物（如行业纪实、技术人物传记），通过降低认知门槛的"轻推"方式，在不触发心理抗拒的前提下实现专业阅读的渐进式渗透。</w:t>
      </w:r>
    </w:p>
    <w:p w14:paraId="7B9981D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(2) 社交证明阅读圈策略。</w:t>
      </w:r>
      <w:r>
        <w:rPr>
          <w:rFonts w:hint="default" w:ascii="Segoe UI" w:hAnsi="Segoe UI" w:eastAsia="Segoe UI" w:cs="Segoe UI"/>
          <w:i w:val="0"/>
          <w:iCs w:val="0"/>
          <w:caps w:val="0"/>
          <w:color w:val="1A2029"/>
          <w:spacing w:val="0"/>
          <w:sz w:val="24"/>
          <w:szCs w:val="24"/>
          <w:bdr w:val="none" w:color="auto" w:sz="0" w:space="0"/>
          <w:shd w:val="clear" w:fill="FFFFFF"/>
          <w:vertAlign w:val="baseline"/>
        </w:rPr>
        <w:t> 利用聚类算法识别阅读兴趣相似的学生群体，构建"阅读圈"，在圈内展示同专业、同兴趣同学的阅读动态，利用从众心理激发阅读意愿。该策略尤适用于阅读活跃但缺乏专业聚焦的读者，通过展示同专业优秀读者的书单，为其提供专业阅读的引导锚点。</w:t>
      </w:r>
    </w:p>
    <w:p w14:paraId="5FB47A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(3) 游戏化激励策略。</w:t>
      </w:r>
      <w:r>
        <w:rPr>
          <w:rFonts w:hint="default" w:ascii="Segoe UI" w:hAnsi="Segoe UI" w:eastAsia="Segoe UI" w:cs="Segoe UI"/>
          <w:i w:val="0"/>
          <w:iCs w:val="0"/>
          <w:caps w:val="0"/>
          <w:color w:val="1A2029"/>
          <w:spacing w:val="0"/>
          <w:sz w:val="24"/>
          <w:szCs w:val="24"/>
          <w:bdr w:val="none" w:color="auto" w:sz="0" w:space="0"/>
          <w:shd w:val="clear" w:fill="FFFFFF"/>
          <w:vertAlign w:val="baseline"/>
        </w:rPr>
        <w:t> 设计包含阅读积分、数字徽章和阅读排行榜的游戏化激励系统，并依据自我决定理论[14]遵循"内化路径"分三阶段推进：初始阶段通过积分和徽章提供外在激励，启动低参与用户的阅读行为；过渡阶段将积分与专业实践任务挂钩（如"完成本专业经典读物可获得课程加分"），增强胜任感；内化阶段通过阅读圈社交互动和反馈可视化，使用户感受到阅读的自主选择权和社群归属感。需避免单纯按阅读时长赋分的"打卡式"设计，因其易引发"为积分而阅读"的工具化倾向，一旦激励撤销，阅读行为可能快速回落。</w:t>
      </w:r>
    </w:p>
    <w:p w14:paraId="558AA29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(4) 情境化提示策略。</w:t>
      </w:r>
      <w:r>
        <w:rPr>
          <w:rFonts w:hint="default" w:ascii="Segoe UI" w:hAnsi="Segoe UI" w:eastAsia="Segoe UI" w:cs="Segoe UI"/>
          <w:i w:val="0"/>
          <w:iCs w:val="0"/>
          <w:caps w:val="0"/>
          <w:color w:val="1A2029"/>
          <w:spacing w:val="0"/>
          <w:sz w:val="24"/>
          <w:szCs w:val="24"/>
          <w:bdr w:val="none" w:color="auto" w:sz="0" w:space="0"/>
          <w:shd w:val="clear" w:fill="FFFFFF"/>
          <w:vertAlign w:val="baseline"/>
        </w:rPr>
        <w:t> 基于锚定效应与显著性原则，在学生决策的关键节点植入情境化提示：在新生入馆第一天设定专业阅读目标作为"锚点"；在学生检索非专业图书时，弹出"你可能还感兴趣的专业读物"提示框；在学生长时间未借阅时发送个性化提醒。提示设计须遵循"轻推"原则，避免过度干预引发心理抗拒。</w:t>
      </w:r>
    </w:p>
    <w:p w14:paraId="385A60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(5) 反馈优化策略。</w:t>
      </w:r>
      <w:r>
        <w:rPr>
          <w:rFonts w:hint="default" w:ascii="Segoe UI" w:hAnsi="Segoe UI" w:eastAsia="Segoe UI" w:cs="Segoe UI"/>
          <w:i w:val="0"/>
          <w:iCs w:val="0"/>
          <w:caps w:val="0"/>
          <w:color w:val="1A2029"/>
          <w:spacing w:val="0"/>
          <w:sz w:val="24"/>
          <w:szCs w:val="24"/>
          <w:bdr w:val="none" w:color="auto" w:sz="0" w:space="0"/>
          <w:shd w:val="clear" w:fill="FFFFFF"/>
          <w:vertAlign w:val="baseline"/>
        </w:rPr>
        <w:t> 利用实时数据追踪与可视化技术为每位学生生成个人阅读成长档案，包含专业阅读进度条、月度阅读报告、与同专业同学的对比分析等。反馈设计遵循"高频、即时、轻量"三原则：每次借阅后自动更新阅读画像；完成一本专业读物后即时推送成就确认；反馈信息以卡片形式嵌入图书馆首页，不额外增加认知负担。对低参与读者重点展示"距离专业阅读目标还差X本"的进度提示，利用目标梯度效应激发完成动力；对高参与读者则展示正向比较反馈，强化既有习惯。</w:t>
      </w:r>
    </w:p>
    <w:p w14:paraId="42CCB8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4.4 对话式助推：大语言模型时代的策略升级</w:t>
      </w:r>
    </w:p>
    <w:p w14:paraId="798C64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在大语言模型快速发展的背景下，上述策略可升级为"对话式助推"。基于LLM构建智能阅读伴侣系统，具备三种核心能力：（1）通俗化解读——将枯燥的专业理论转化为与高职生职业场景相关的对话式解读，切实降低认知门槛；（2）意图感知——通过自然语言交互识别学生的阅读困惑和兴趣偏好，实现比协同过滤更精准的个性化推荐；（3）渐进式引导——采用苏格拉底式提问，引导学生自主发现专业读物的价值，而非单向推送，从而避免触发心理抗拒。例如，当以休闲阅读为主的读者检索一本小说时，LLM阅读伴侣可回应："这本书的作者也曾写过一本关于你所学专业领域的行业纪实，很多同专业的同学都觉得很有启发，要不要了解一下？"这种对话式助推将推荐行为嵌入自然交互之中，既利用了社会证明原则，又保持了用户的感知选择自由。</w:t>
      </w:r>
    </w:p>
    <w:p w14:paraId="7A2898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5 用户类型与助推策略的匹配</w:t>
      </w:r>
    </w:p>
    <w:p w14:paraId="7649AA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5.1 高职学生阅读类型的理论划分</w:t>
      </w:r>
    </w:p>
    <w:p w14:paraId="4FAD0E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依据心理抗拒理论与自我决定理论，可按"阅读参与度"（阅读行为的频率与持续性，反映动机激活水平）与"阅读指向"（专业内容抑或休闲内容，反映阅读价值取向）两个维度，对高职学生阅读类型进行理论划分：①专业深耕型——高参与度、专业指向，已将专业阅读内化为自觉行为，困境在于阅读范围偏窄；②休闲沉浸型——高参与度、休闲指向，阅读活跃但几乎脱离专业内容，可能对专业文献存在"认知防御"，将其视为考试工具而非阅读对象；③任务驱动型——低参与度、专业指向，阅读以完成学分、任务为目的，属外部调节动机，激励撤除即中断；④浅层分散型——低参与度、休闲指向，处于阅读动机的"真空状态"，既未形成专业阅读习惯，也未建立稳定的休闲阅读偏好。需说明的是，该类型划分是理论上的理想型，读者类型的归属是渐变而非离散的，实际应用中可通过读者行为数据加以动态识别。</w:t>
      </w:r>
    </w:p>
    <w:p w14:paraId="3B29E6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5.2 差异化策略匹配</w:t>
      </w:r>
    </w:p>
    <w:p w14:paraId="7D5761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不同类型读者应匹配差异化的助推策略组合，见表2。</w:t>
      </w:r>
    </w:p>
    <w:p w14:paraId="6818BE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表2 用户类型与助推策略匹配关系</w:t>
      </w:r>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186"/>
        <w:gridCol w:w="1341"/>
        <w:gridCol w:w="1495"/>
        <w:gridCol w:w="2322"/>
        <w:gridCol w:w="2322"/>
      </w:tblGrid>
      <w:tr w14:paraId="24B51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0" w:type="auto"/>
            <w:tcBorders>
              <w:top w:val="nil"/>
              <w:left w:val="nil"/>
              <w:bottom w:val="single" w:color="EEEEEE" w:sz="6" w:space="0"/>
              <w:right w:val="single" w:color="EEEEEE" w:sz="6" w:space="0"/>
            </w:tcBorders>
            <w:shd w:val="clear"/>
            <w:tcMar>
              <w:top w:w="180" w:type="dxa"/>
              <w:left w:w="180" w:type="dxa"/>
              <w:bottom w:w="180" w:type="dxa"/>
              <w:right w:w="180" w:type="dxa"/>
            </w:tcMar>
            <w:vAlign w:val="top"/>
          </w:tcPr>
          <w:p w14:paraId="63FA0CF7">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用户类型</w:t>
            </w:r>
          </w:p>
        </w:tc>
        <w:tc>
          <w:tcPr>
            <w:tcW w:w="0" w:type="auto"/>
            <w:tcBorders>
              <w:top w:val="nil"/>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07D56F5E">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核心困境</w:t>
            </w:r>
          </w:p>
        </w:tc>
        <w:tc>
          <w:tcPr>
            <w:tcW w:w="0" w:type="auto"/>
            <w:tcBorders>
              <w:top w:val="nil"/>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7BFCCEF1">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首选策略</w:t>
            </w:r>
          </w:p>
        </w:tc>
        <w:tc>
          <w:tcPr>
            <w:tcW w:w="0" w:type="auto"/>
            <w:tcBorders>
              <w:top w:val="nil"/>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6FB280F1">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辅助策略</w:t>
            </w:r>
          </w:p>
        </w:tc>
        <w:tc>
          <w:tcPr>
            <w:tcW w:w="0" w:type="auto"/>
            <w:tcBorders>
              <w:top w:val="nil"/>
              <w:left w:val="single" w:color="EEEEEE" w:sz="6" w:space="0"/>
              <w:bottom w:val="single" w:color="EEEEEE" w:sz="6" w:space="0"/>
              <w:right w:val="nil"/>
            </w:tcBorders>
            <w:shd w:val="clear"/>
            <w:tcMar>
              <w:top w:w="180" w:type="dxa"/>
              <w:left w:w="180" w:type="dxa"/>
              <w:bottom w:w="180" w:type="dxa"/>
              <w:right w:w="180" w:type="dxa"/>
            </w:tcMar>
            <w:vAlign w:val="top"/>
          </w:tcPr>
          <w:p w14:paraId="483805C0">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行为学依据</w:t>
            </w:r>
          </w:p>
        </w:tc>
      </w:tr>
      <w:tr w14:paraId="17A29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single" w:color="EEEEEE" w:sz="6" w:space="0"/>
              <w:left w:val="nil"/>
              <w:bottom w:val="single" w:color="EEEEEE" w:sz="6" w:space="0"/>
              <w:right w:val="single" w:color="EEEEEE" w:sz="6" w:space="0"/>
            </w:tcBorders>
            <w:shd w:val="clear"/>
            <w:tcMar>
              <w:top w:w="180" w:type="dxa"/>
              <w:left w:w="180" w:type="dxa"/>
              <w:bottom w:w="180" w:type="dxa"/>
              <w:right w:w="180" w:type="dxa"/>
            </w:tcMar>
            <w:vAlign w:val="top"/>
          </w:tcPr>
          <w:p w14:paraId="0388B82D">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专业深耕型</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4ECED370">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阅读范围窄</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3C06E0D9">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社交证明阅读圈</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4245ABE4">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情境化提示、反馈优化</w:t>
            </w:r>
          </w:p>
        </w:tc>
        <w:tc>
          <w:tcPr>
            <w:tcW w:w="0" w:type="auto"/>
            <w:tcBorders>
              <w:top w:val="single" w:color="EEEEEE" w:sz="6" w:space="0"/>
              <w:left w:val="single" w:color="EEEEEE" w:sz="6" w:space="0"/>
              <w:bottom w:val="single" w:color="EEEEEE" w:sz="6" w:space="0"/>
              <w:right w:val="nil"/>
            </w:tcBorders>
            <w:shd w:val="clear"/>
            <w:tcMar>
              <w:top w:w="180" w:type="dxa"/>
              <w:left w:w="180" w:type="dxa"/>
              <w:bottom w:w="180" w:type="dxa"/>
              <w:right w:w="180" w:type="dxa"/>
            </w:tcMar>
            <w:vAlign w:val="top"/>
          </w:tcPr>
          <w:p w14:paraId="3BCE60CB">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锚定效应：拓展认知边界</w:t>
            </w:r>
          </w:p>
        </w:tc>
      </w:tr>
      <w:tr w14:paraId="24F0D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0" w:type="auto"/>
            <w:tcBorders>
              <w:top w:val="single" w:color="EEEEEE" w:sz="6" w:space="0"/>
              <w:left w:val="nil"/>
              <w:bottom w:val="single" w:color="EEEEEE" w:sz="6" w:space="0"/>
              <w:right w:val="single" w:color="EEEEEE" w:sz="6" w:space="0"/>
            </w:tcBorders>
            <w:shd w:val="clear" w:color="auto" w:fill="F6F8FA"/>
            <w:tcMar>
              <w:top w:w="180" w:type="dxa"/>
              <w:left w:w="180" w:type="dxa"/>
              <w:bottom w:w="180" w:type="dxa"/>
              <w:right w:w="180" w:type="dxa"/>
            </w:tcMar>
            <w:vAlign w:val="top"/>
          </w:tcPr>
          <w:p w14:paraId="03DB1D24">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休闲沉浸型</w:t>
            </w:r>
          </w:p>
        </w:tc>
        <w:tc>
          <w:tcPr>
            <w:tcW w:w="0" w:type="auto"/>
            <w:tcBorders>
              <w:top w:val="single" w:color="EEEEEE" w:sz="6" w:space="0"/>
              <w:left w:val="single" w:color="EEEEEE" w:sz="6" w:space="0"/>
              <w:bottom w:val="single" w:color="EEEEEE" w:sz="6" w:space="0"/>
              <w:right w:val="single" w:color="EEEEEE" w:sz="6" w:space="0"/>
            </w:tcBorders>
            <w:shd w:val="clear" w:color="auto" w:fill="F6F8FA"/>
            <w:tcMar>
              <w:top w:w="180" w:type="dxa"/>
              <w:left w:w="180" w:type="dxa"/>
              <w:bottom w:w="180" w:type="dxa"/>
              <w:right w:w="180" w:type="dxa"/>
            </w:tcMar>
            <w:vAlign w:val="top"/>
          </w:tcPr>
          <w:p w14:paraId="155C9D9C">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专业阅读缺失</w:t>
            </w:r>
          </w:p>
        </w:tc>
        <w:tc>
          <w:tcPr>
            <w:tcW w:w="0" w:type="auto"/>
            <w:tcBorders>
              <w:top w:val="single" w:color="EEEEEE" w:sz="6" w:space="0"/>
              <w:left w:val="single" w:color="EEEEEE" w:sz="6" w:space="0"/>
              <w:bottom w:val="single" w:color="EEEEEE" w:sz="6" w:space="0"/>
              <w:right w:val="single" w:color="EEEEEE" w:sz="6" w:space="0"/>
            </w:tcBorders>
            <w:shd w:val="clear" w:color="auto" w:fill="F6F8FA"/>
            <w:tcMar>
              <w:top w:w="180" w:type="dxa"/>
              <w:left w:w="180" w:type="dxa"/>
              <w:bottom w:w="180" w:type="dxa"/>
              <w:right w:w="180" w:type="dxa"/>
            </w:tcMar>
            <w:vAlign w:val="top"/>
          </w:tcPr>
          <w:p w14:paraId="0882E0CF">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个性化默认推荐</w:t>
            </w:r>
          </w:p>
        </w:tc>
        <w:tc>
          <w:tcPr>
            <w:tcW w:w="0" w:type="auto"/>
            <w:tcBorders>
              <w:top w:val="single" w:color="EEEEEE" w:sz="6" w:space="0"/>
              <w:left w:val="single" w:color="EEEEEE" w:sz="6" w:space="0"/>
              <w:bottom w:val="single" w:color="EEEEEE" w:sz="6" w:space="0"/>
              <w:right w:val="single" w:color="EEEEEE" w:sz="6" w:space="0"/>
            </w:tcBorders>
            <w:shd w:val="clear" w:color="auto" w:fill="F6F8FA"/>
            <w:tcMar>
              <w:top w:w="180" w:type="dxa"/>
              <w:left w:w="180" w:type="dxa"/>
              <w:bottom w:w="180" w:type="dxa"/>
              <w:right w:w="180" w:type="dxa"/>
            </w:tcMar>
            <w:vAlign w:val="top"/>
          </w:tcPr>
          <w:p w14:paraId="027EB07C">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游戏化激励、情境化提示</w:t>
            </w:r>
          </w:p>
        </w:tc>
        <w:tc>
          <w:tcPr>
            <w:tcW w:w="0" w:type="auto"/>
            <w:tcBorders>
              <w:top w:val="single" w:color="EEEEEE" w:sz="6" w:space="0"/>
              <w:left w:val="single" w:color="EEEEEE" w:sz="6" w:space="0"/>
              <w:bottom w:val="single" w:color="EEEEEE" w:sz="6" w:space="0"/>
              <w:right w:val="nil"/>
            </w:tcBorders>
            <w:shd w:val="clear" w:color="auto" w:fill="F6F8FA"/>
            <w:tcMar>
              <w:top w:w="180" w:type="dxa"/>
              <w:left w:w="180" w:type="dxa"/>
              <w:bottom w:w="180" w:type="dxa"/>
              <w:right w:w="180" w:type="dxa"/>
            </w:tcMar>
            <w:vAlign w:val="top"/>
          </w:tcPr>
          <w:p w14:paraId="176CDEFD">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默认选项：轻推降低抗拒</w:t>
            </w:r>
          </w:p>
        </w:tc>
      </w:tr>
      <w:tr w14:paraId="4623F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single" w:color="EEEEEE" w:sz="6" w:space="0"/>
              <w:left w:val="nil"/>
              <w:bottom w:val="single" w:color="EEEEEE" w:sz="6" w:space="0"/>
              <w:right w:val="single" w:color="EEEEEE" w:sz="6" w:space="0"/>
            </w:tcBorders>
            <w:shd w:val="clear"/>
            <w:tcMar>
              <w:top w:w="180" w:type="dxa"/>
              <w:left w:w="180" w:type="dxa"/>
              <w:bottom w:w="180" w:type="dxa"/>
              <w:right w:w="180" w:type="dxa"/>
            </w:tcMar>
            <w:vAlign w:val="top"/>
          </w:tcPr>
          <w:p w14:paraId="6380B8CB">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任务驱动型</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55668408">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动机难内化</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5C412113">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游戏化激励</w:t>
            </w:r>
          </w:p>
        </w:tc>
        <w:tc>
          <w:tcPr>
            <w:tcW w:w="0" w:type="auto"/>
            <w:tcBorders>
              <w:top w:val="single" w:color="EEEEEE" w:sz="6" w:space="0"/>
              <w:left w:val="single" w:color="EEEEEE" w:sz="6" w:space="0"/>
              <w:bottom w:val="single" w:color="EEEEEE" w:sz="6" w:space="0"/>
              <w:right w:val="single" w:color="EEEEEE" w:sz="6" w:space="0"/>
            </w:tcBorders>
            <w:shd w:val="clear"/>
            <w:tcMar>
              <w:top w:w="180" w:type="dxa"/>
              <w:left w:w="180" w:type="dxa"/>
              <w:bottom w:w="180" w:type="dxa"/>
              <w:right w:w="180" w:type="dxa"/>
            </w:tcMar>
            <w:vAlign w:val="top"/>
          </w:tcPr>
          <w:p w14:paraId="46E9B4C1">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反馈优化、社交证明阅读圈</w:t>
            </w:r>
          </w:p>
        </w:tc>
        <w:tc>
          <w:tcPr>
            <w:tcW w:w="0" w:type="auto"/>
            <w:tcBorders>
              <w:top w:val="single" w:color="EEEEEE" w:sz="6" w:space="0"/>
              <w:left w:val="single" w:color="EEEEEE" w:sz="6" w:space="0"/>
              <w:bottom w:val="single" w:color="EEEEEE" w:sz="6" w:space="0"/>
              <w:right w:val="nil"/>
            </w:tcBorders>
            <w:shd w:val="clear"/>
            <w:tcMar>
              <w:top w:w="180" w:type="dxa"/>
              <w:left w:w="180" w:type="dxa"/>
              <w:bottom w:w="180" w:type="dxa"/>
              <w:right w:w="180" w:type="dxa"/>
            </w:tcMar>
            <w:vAlign w:val="top"/>
          </w:tcPr>
          <w:p w14:paraId="03B2E424">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自我决定理论：动机内化</w:t>
            </w:r>
          </w:p>
        </w:tc>
      </w:tr>
      <w:tr w14:paraId="728FE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0" w:type="auto"/>
            <w:tcBorders>
              <w:top w:val="single" w:color="EEEEEE" w:sz="6" w:space="0"/>
              <w:left w:val="nil"/>
              <w:bottom w:val="nil"/>
              <w:right w:val="single" w:color="EEEEEE" w:sz="6" w:space="0"/>
            </w:tcBorders>
            <w:shd w:val="clear" w:color="auto" w:fill="F6F8FA"/>
            <w:tcMar>
              <w:top w:w="180" w:type="dxa"/>
              <w:left w:w="180" w:type="dxa"/>
              <w:bottom w:w="180" w:type="dxa"/>
              <w:right w:w="180" w:type="dxa"/>
            </w:tcMar>
            <w:vAlign w:val="top"/>
          </w:tcPr>
          <w:p w14:paraId="19021C5C">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浅层分散型</w:t>
            </w:r>
          </w:p>
        </w:tc>
        <w:tc>
          <w:tcPr>
            <w:tcW w:w="0" w:type="auto"/>
            <w:tcBorders>
              <w:top w:val="single" w:color="EEEEEE" w:sz="6" w:space="0"/>
              <w:left w:val="single" w:color="EEEEEE" w:sz="6" w:space="0"/>
              <w:bottom w:val="nil"/>
              <w:right w:val="single" w:color="EEEEEE" w:sz="6" w:space="0"/>
            </w:tcBorders>
            <w:shd w:val="clear" w:color="auto" w:fill="F6F8FA"/>
            <w:tcMar>
              <w:top w:w="180" w:type="dxa"/>
              <w:left w:w="180" w:type="dxa"/>
              <w:bottom w:w="180" w:type="dxa"/>
              <w:right w:w="180" w:type="dxa"/>
            </w:tcMar>
            <w:vAlign w:val="top"/>
          </w:tcPr>
          <w:p w14:paraId="7F8FB2F0">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参与度低</w:t>
            </w:r>
          </w:p>
        </w:tc>
        <w:tc>
          <w:tcPr>
            <w:tcW w:w="0" w:type="auto"/>
            <w:tcBorders>
              <w:top w:val="single" w:color="EEEEEE" w:sz="6" w:space="0"/>
              <w:left w:val="single" w:color="EEEEEE" w:sz="6" w:space="0"/>
              <w:bottom w:val="nil"/>
              <w:right w:val="single" w:color="EEEEEE" w:sz="6" w:space="0"/>
            </w:tcBorders>
            <w:shd w:val="clear" w:color="auto" w:fill="F6F8FA"/>
            <w:tcMar>
              <w:top w:w="180" w:type="dxa"/>
              <w:left w:w="180" w:type="dxa"/>
              <w:bottom w:w="180" w:type="dxa"/>
              <w:right w:w="180" w:type="dxa"/>
            </w:tcMar>
            <w:vAlign w:val="top"/>
          </w:tcPr>
          <w:p w14:paraId="05540575">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个性化默认推荐</w:t>
            </w:r>
          </w:p>
        </w:tc>
        <w:tc>
          <w:tcPr>
            <w:tcW w:w="0" w:type="auto"/>
            <w:tcBorders>
              <w:top w:val="single" w:color="EEEEEE" w:sz="6" w:space="0"/>
              <w:left w:val="single" w:color="EEEEEE" w:sz="6" w:space="0"/>
              <w:bottom w:val="nil"/>
              <w:right w:val="single" w:color="EEEEEE" w:sz="6" w:space="0"/>
            </w:tcBorders>
            <w:shd w:val="clear" w:color="auto" w:fill="F6F8FA"/>
            <w:tcMar>
              <w:top w:w="180" w:type="dxa"/>
              <w:left w:w="180" w:type="dxa"/>
              <w:bottom w:w="180" w:type="dxa"/>
              <w:right w:w="180" w:type="dxa"/>
            </w:tcMar>
            <w:vAlign w:val="top"/>
          </w:tcPr>
          <w:p w14:paraId="1AE338D7">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游戏化激励、反馈优化</w:t>
            </w:r>
          </w:p>
        </w:tc>
        <w:tc>
          <w:tcPr>
            <w:tcW w:w="0" w:type="auto"/>
            <w:tcBorders>
              <w:top w:val="single" w:color="EEEEEE" w:sz="6" w:space="0"/>
              <w:left w:val="single" w:color="EEEEEE" w:sz="6" w:space="0"/>
              <w:bottom w:val="nil"/>
              <w:right w:val="nil"/>
            </w:tcBorders>
            <w:shd w:val="clear" w:color="auto" w:fill="F6F8FA"/>
            <w:tcMar>
              <w:top w:w="180" w:type="dxa"/>
              <w:left w:w="180" w:type="dxa"/>
              <w:bottom w:w="180" w:type="dxa"/>
              <w:right w:w="180" w:type="dxa"/>
            </w:tcMar>
            <w:vAlign w:val="top"/>
          </w:tcPr>
          <w:p w14:paraId="0B4DD220">
            <w:pPr>
              <w:keepNext w:val="0"/>
              <w:keepLines w:val="0"/>
              <w:widowControl/>
              <w:suppressLineNumbers w:val="0"/>
              <w:spacing w:before="0" w:beforeAutospacing="0" w:after="0" w:afterAutospacing="0" w:line="360" w:lineRule="atLeast"/>
              <w:ind w:left="0" w:right="0"/>
              <w:jc w:val="center"/>
              <w:textAlignment w:val="top"/>
              <w:rPr>
                <w:rFonts w:hint="default" w:ascii="PingFang SC" w:hAnsi="PingFang SC" w:eastAsia="PingFang SC" w:cs="PingFang SC"/>
                <w:i w:val="0"/>
                <w:iCs w:val="0"/>
                <w:color w:val="1A2029"/>
                <w:sz w:val="21"/>
                <w:szCs w:val="21"/>
              </w:rPr>
            </w:pPr>
            <w:r>
              <w:rPr>
                <w:rFonts w:hint="default" w:ascii="PingFang SC" w:hAnsi="PingFang SC" w:eastAsia="PingFang SC" w:cs="PingFang SC"/>
                <w:i w:val="0"/>
                <w:iCs w:val="0"/>
                <w:color w:val="1A2029"/>
                <w:kern w:val="0"/>
                <w:sz w:val="21"/>
                <w:szCs w:val="21"/>
                <w:bdr w:val="none" w:color="auto" w:sz="0" w:space="0"/>
                <w:lang w:val="en-US" w:eastAsia="zh-CN" w:bidi="ar"/>
              </w:rPr>
              <w:t>显著性：外在激励启动参与</w:t>
            </w:r>
          </w:p>
        </w:tc>
      </w:tr>
    </w:tbl>
    <w:p w14:paraId="066CDC0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上述匹配需结合心理抗拒理论审慎论证。以休闲沉浸型读者为例，若直接施加强制性推荐（如锁定专业书单），可能触发心理抗拒[13]，导致"反向助推"。因此，默认推荐策略对该群体应采取"隐性嵌入"方式：在文学类推荐中穿插1~2本与专业相关但叙事性强的交叉读物，而非直接推送纯专业文献。这种设计既利用了默认选项的"接受预设倾向"，又避免了选择自由的感知威胁，符合Schemmer等[7]提出的"自主性兼容"原则。</w:t>
      </w:r>
    </w:p>
    <w:p w14:paraId="6F9A7C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6 伦理治理：从原则声明到技术约束</w:t>
      </w:r>
    </w:p>
    <w:p w14:paraId="796039B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6.1 心理抗拒风险的防控</w:t>
      </w:r>
    </w:p>
    <w:p w14:paraId="61EC5F4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助推策略的干预强度须以"感知选择自由不受侵犯"为底线。具体约束包括：默认推荐始终保持"可一键更换"的开放状态；情境化提示的频次设置上限；任何干预均不得与学分、评奖等强制性利益直接绑定，防止"助推"异化为"强制"。</w:t>
      </w:r>
    </w:p>
    <w:p w14:paraId="218C62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6.2 信息茧房的防范：基于ε-greedy策略的多样性约束</w:t>
      </w:r>
    </w:p>
    <w:p w14:paraId="5AACF4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参考Pariser的"信息茧房"（Filter Bubble）理论[15]，AI助推面临的核心伦理风险是：个性化推荐可能在提升专业阅读率的同时，剥夺学生通过自由探索发现其他兴趣的权利。为此，可在推荐算法中引入强化学习中的ε-greedy探索机制[16]：设定探索率ε（建议ε=0.15~0.20），即15%~20%的推荐位完全随机填充跨领域书籍，在保证推荐相关性的同时，系统性防范信息茧房。</w:t>
      </w:r>
    </w:p>
    <w:p w14:paraId="3104F3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6.3 算法透明度与知情同意</w:t>
      </w:r>
    </w:p>
    <w:p w14:paraId="52482A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系统应提供"推荐透明度"功能，向用户展示推荐理由和算法逻辑，保障其知情权和选择权；数据采集须明确边界，遵循最小必要原则，并建立用户知情同意机制与退出通道。</w:t>
      </w:r>
    </w:p>
    <w:p w14:paraId="523835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Style w:val="6"/>
          <w:rFonts w:hint="default" w:ascii="Segoe UI" w:hAnsi="Segoe UI" w:eastAsia="Segoe UI" w:cs="Segoe UI"/>
          <w:i w:val="0"/>
          <w:iCs w:val="0"/>
          <w:caps w:val="0"/>
          <w:color w:val="1A2029"/>
          <w:spacing w:val="0"/>
          <w:sz w:val="24"/>
          <w:szCs w:val="24"/>
          <w:bdr w:val="none" w:color="auto" w:sz="0" w:space="0"/>
          <w:shd w:val="clear" w:fill="FFFFFF"/>
          <w:vertAlign w:val="baseline"/>
        </w:rPr>
        <w:t>7 结论与展望</w:t>
      </w:r>
    </w:p>
    <w:p w14:paraId="449256C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80" w:beforeAutospacing="0" w:after="0" w:afterAutospacing="0" w:line="405" w:lineRule="atLeast"/>
        <w:ind w:left="0" w:right="0" w:firstLine="0"/>
        <w:jc w:val="left"/>
        <w:textAlignment w:val="baseline"/>
        <w:rPr>
          <w:rFonts w:hint="default" w:ascii="Segoe UI" w:hAnsi="Segoe UI" w:eastAsia="Segoe UI" w:cs="Segoe UI"/>
          <w:i w:val="0"/>
          <w:iCs w:val="0"/>
          <w:caps w:val="0"/>
          <w:color w:val="1A2029"/>
          <w:spacing w:val="0"/>
          <w:sz w:val="24"/>
          <w:szCs w:val="24"/>
        </w:rPr>
      </w:pPr>
      <w:r>
        <w:rPr>
          <w:rFonts w:hint="default" w:ascii="Segoe UI" w:hAnsi="Segoe UI" w:eastAsia="Segoe UI" w:cs="Segoe UI"/>
          <w:i w:val="0"/>
          <w:iCs w:val="0"/>
          <w:caps w:val="0"/>
          <w:color w:val="1A2029"/>
          <w:spacing w:val="0"/>
          <w:sz w:val="24"/>
          <w:szCs w:val="24"/>
          <w:bdr w:val="none" w:color="auto" w:sz="0" w:space="0"/>
          <w:shd w:val="clear" w:fill="FFFFFF"/>
          <w:vertAlign w:val="baseline"/>
        </w:rPr>
        <w:t>本文以助推理论为理论锚点、以AI技术为实现手段，针对高职图书馆阅读推广"高认知门槛—低即时回报—缺乏持续反馈"的结构性矛盾，完成了三项理论工作：其一，系统对应六大助推原则与AI技术功能，构建"感知—决策—行动—反馈"四层闭环架构，并引入大语言模型提出对话式助推的升级路径；其二，基于心理抗拒理论与自我决定理论论证策略的适用边界，按阅读参与度与阅读指向划分四类读者并建立"用户类型—助推策略"的匹配关系；其三，提出基于ε-greedy策略的推荐多样性约束机制，使伦理治理从原则声明走向可操作的技术约束。本研究尚属探索性理论框架，各策略的实际干预效果、作用强度及其随时间的衰减特征，有待通过多校联合的纵向A/B测试加以实证检验；基于大语言模型的对话式阅读伴侣原型系统的开发与评估、AI助推伦理治理框架的细化，是后续研究的重要方向。</w:t>
      </w:r>
    </w:p>
    <w:p w14:paraId="5F0F5D1E">
      <w:r>
        <w:br w:type="page"/>
      </w:r>
    </w:p>
    <w:p w14:paraId="29010AD1">
      <w:pPr>
        <w:pStyle w:val="2"/>
        <w:keepNext w:val="0"/>
        <w:keepLines w:val="0"/>
        <w:widowControl/>
        <w:suppressLineNumbers w:val="0"/>
      </w:pPr>
      <w:r>
        <w:t>一、必须修改的矛盾（硬伤）</w:t>
      </w:r>
    </w:p>
    <w:p w14:paraId="3CB4D277">
      <w:pPr>
        <w:pStyle w:val="3"/>
        <w:keepNext w:val="0"/>
        <w:keepLines w:val="0"/>
        <w:widowControl/>
        <w:suppressLineNumbers w:val="0"/>
      </w:pPr>
      <w:r>
        <w:t>1. 结论残留了已删除的实证内容（最严重）</w:t>
      </w:r>
    </w:p>
    <w:p w14:paraId="026D44E6">
      <w:pPr>
        <w:pStyle w:val="3"/>
        <w:keepNext w:val="0"/>
        <w:keepLines w:val="0"/>
        <w:widowControl/>
        <w:suppressLineNumbers w:val="0"/>
      </w:pPr>
      <w:r>
        <w:t>第7章结论写的是：</w:t>
      </w:r>
    </w:p>
    <w:p w14:paraId="4B3F7924">
      <w:pPr>
        <w:keepNext w:val="0"/>
        <w:keepLines w:val="0"/>
        <w:widowControl/>
        <w:suppressLineNumbers w:val="0"/>
        <w:ind w:left="720" w:right="72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“各策略的实际效果、转化率参数及助推疲劳效应有待通过多校联合的纵向A/B测试加以实证检验”</w:t>
      </w:r>
    </w:p>
    <w:p w14:paraId="0200EB77">
      <w:pPr>
        <w:pStyle w:val="3"/>
        <w:keepNext w:val="0"/>
        <w:keepLines w:val="0"/>
        <w:widowControl/>
        <w:suppressLineNumbers w:val="0"/>
      </w:pPr>
      <w:r>
        <w:t>但“转化率参数”“助推疲劳”是原第5章模拟推演中的概念，改写为纯理论后正文已无任何对应内容——结论引用了正文不存在的概念，评审一眼就能看出“删章不删尾”。修改为：</w:t>
      </w:r>
    </w:p>
    <w:p w14:paraId="04B73DA1">
      <w:pPr>
        <w:keepNext w:val="0"/>
        <w:keepLines w:val="0"/>
        <w:widowControl/>
        <w:suppressLineNumbers w:val="0"/>
        <w:ind w:left="720" w:right="72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“各策略的实际干预效果、作用强度及其随时间的衰减特征，有待通过多校联合的纵向A/B测试加以实证检验。”</w:t>
      </w:r>
    </w:p>
    <w:p w14:paraId="575C6ED6">
      <w:pPr>
        <w:pStyle w:val="3"/>
        <w:keepNext w:val="0"/>
        <w:keepLines w:val="0"/>
        <w:widowControl/>
        <w:suppressLineNumbers w:val="0"/>
      </w:pPr>
      <w:r>
        <w:t>2. 理论口径不一致：正文使用了NUDGES之外的原则</w:t>
      </w:r>
    </w:p>
    <w:p w14:paraId="32FAEA8F">
      <w:pPr>
        <w:pStyle w:val="3"/>
        <w:keepNext w:val="0"/>
        <w:keepLines w:val="0"/>
        <w:widowControl/>
        <w:suppressLineNumbers w:val="0"/>
      </w:pPr>
      <w:r>
        <w:t>文章通篇宣称“以NUDGES六大原则为理论锚点”（第2.1、第4章开头），但：</w:t>
      </w:r>
    </w:p>
    <w:p w14:paraId="4AC2A7F0">
      <w:pPr>
        <w:keepNext w:val="0"/>
        <w:keepLines w:val="0"/>
        <w:widowControl/>
        <w:numPr>
          <w:ilvl w:val="0"/>
          <w:numId w:val="1"/>
        </w:numPr>
        <w:suppressLineNumbers w:val="0"/>
        <w:spacing w:before="0" w:beforeAutospacing="1" w:after="0" w:afterAutospacing="1"/>
        <w:ind w:left="720" w:hanging="360"/>
      </w:pPr>
      <w:r>
        <w:t>4.3.2社交证明阅读圈“基于社会证明原则”——社会证明（Cialdini）不在六大原则内；</w:t>
      </w:r>
    </w:p>
    <w:p w14:paraId="7FC70545">
      <w:pPr>
        <w:keepNext w:val="0"/>
        <w:keepLines w:val="0"/>
        <w:widowControl/>
        <w:numPr>
          <w:ilvl w:val="0"/>
          <w:numId w:val="1"/>
        </w:numPr>
        <w:suppressLineNumbers w:val="0"/>
        <w:spacing w:before="0" w:beforeAutospacing="1" w:after="0" w:afterAutospacing="1"/>
        <w:ind w:left="720" w:hanging="360"/>
      </w:pPr>
      <w:r>
        <w:t>4.3.4情境化提示“基于锚定效应与显著性原则”——同样不在六大原则内；</w:t>
      </w:r>
    </w:p>
    <w:p w14:paraId="7D6ACF0C">
      <w:pPr>
        <w:keepNext w:val="0"/>
        <w:keepLines w:val="0"/>
        <w:widowControl/>
        <w:numPr>
          <w:ilvl w:val="0"/>
          <w:numId w:val="1"/>
        </w:numPr>
        <w:suppressLineNumbers w:val="0"/>
        <w:spacing w:before="0" w:beforeAutospacing="1" w:after="0" w:afterAutospacing="1"/>
        <w:ind w:left="720" w:hanging="360"/>
      </w:pPr>
      <w:r>
        <w:t>4.3.5使用了“目标梯度效应”。</w:t>
      </w:r>
    </w:p>
    <w:p w14:paraId="38EC8710">
      <w:pPr>
        <w:pStyle w:val="3"/>
        <w:keepNext w:val="0"/>
        <w:keepLines w:val="0"/>
        <w:widowControl/>
        <w:suppressLineNumbers w:val="0"/>
      </w:pPr>
      <w:r>
        <w:t>而表1却把“社交证明阅读圈”归到“结构优化”原则名下，这会让人质疑：到底是六原则衍生策略，还是策略各找各的理论？两种修法任选其一：</w:t>
      </w:r>
    </w:p>
    <w:p w14:paraId="1A65C99A">
      <w:pPr>
        <w:keepNext w:val="0"/>
        <w:keepLines w:val="0"/>
        <w:widowControl/>
        <w:numPr>
          <w:ilvl w:val="0"/>
          <w:numId w:val="2"/>
        </w:numPr>
        <w:suppressLineNumbers w:val="0"/>
        <w:spacing w:before="0" w:beforeAutospacing="1" w:after="0" w:afterAutospacing="1"/>
        <w:ind w:left="720" w:hanging="360"/>
      </w:pPr>
      <w:r>
        <w:t>方案A（推荐，改动小）：在第4.2节末尾加一句总括说明，明确两级机制：</w:t>
      </w:r>
    </w:p>
    <w:p w14:paraId="3D0AC69B">
      <w:pPr>
        <w:keepNext w:val="0"/>
        <w:keepLines w:val="0"/>
        <w:widowControl/>
        <w:suppressLineNumbers w:val="0"/>
        <w:ind w:left="720" w:right="72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需要说明的是，六大原则是策略体系的一级理论锚点；社会证明、锚定效应、目标梯度等效应，则是相应原则在阅读场景中发挥作用的具体行为机制。例如，结构优化原则借助聚类技术划分阅读圈层（技术手段），圈层内的同伴书单展示则通过社会证明机制产生行为引导（作用机制），二者共同支撑社交证明阅读圈策略。”</w:t>
      </w:r>
    </w:p>
    <w:p w14:paraId="20C53F83">
      <w:pPr>
        <w:keepNext w:val="0"/>
        <w:keepLines w:val="0"/>
        <w:widowControl/>
        <w:numPr>
          <w:ilvl w:val="0"/>
          <w:numId w:val="3"/>
        </w:numPr>
        <w:suppressLineNumbers w:val="0"/>
        <w:spacing w:before="0" w:beforeAutospacing="1" w:after="0" w:afterAutospacing="1"/>
        <w:ind w:left="720" w:hanging="360"/>
      </w:pPr>
      <w:r>
        <w:t>方案B：修改4.3.2和4.3.4的首句，统一表述为“基于结构优化原则（其行为机制为社会证明）”“基于理解权衡与预判错误原则（其行为机制为锚定与显著性）”。</w:t>
      </w:r>
    </w:p>
    <w:p w14:paraId="2926F261">
      <w:pPr>
        <w:pStyle w:val="2"/>
        <w:keepNext w:val="0"/>
        <w:keepLines w:val="0"/>
        <w:widowControl/>
        <w:suppressLineNumbers w:val="0"/>
      </w:pPr>
      <w:r>
        <w:t>二、逻辑缝隙（建议补齐）</w:t>
      </w:r>
    </w:p>
    <w:p w14:paraId="1B65CCAE">
      <w:pPr>
        <w:pStyle w:val="3"/>
        <w:keepNext w:val="0"/>
        <w:keepLines w:val="0"/>
        <w:widowControl/>
        <w:suppressLineNumbers w:val="0"/>
      </w:pPr>
      <w:r>
        <w:t>3. “三重困境—四层架构—五大策略—四类用户”之间缺映射，架构像“悬浮”的</w:t>
      </w:r>
    </w:p>
    <w:p w14:paraId="3D7BE245">
      <w:pPr>
        <w:pStyle w:val="3"/>
        <w:keepNext w:val="0"/>
        <w:keepLines w:val="0"/>
        <w:widowControl/>
        <w:suppressLineNumbers w:val="0"/>
      </w:pPr>
      <w:r>
        <w:t>4.1节直接给出四层架构，但读者会问：感知层对应哪个困境？策略挂在哪一层？架构和第5章的用户类型如何衔接？建议在4.1末尾（“四层架构形成……螺旋上升闭环”之后）补一段：</w:t>
      </w:r>
    </w:p>
    <w:p w14:paraId="732964A9">
      <w:pPr>
        <w:keepNext w:val="0"/>
        <w:keepLines w:val="0"/>
        <w:widowControl/>
        <w:suppressLineNumbers w:val="0"/>
        <w:ind w:left="720" w:right="72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该架构与三重困境形成针对性映射：感知层通过全息画像识别不同读者的动机状态，回应‘意愿低迷’的识别问题；决策层依托默认效应与框架效应重构选择架构，回应‘专业阅读失焦’的引导问题；行动层以低摩擦干预触发即时行为，反馈层以即时激励支撑行为维持，共同回应‘行为维持困难’。五大策略即分布于决策层（个性化默认推荐）、行动层（社交证明阅读圈、游戏化激励、情境化提示）与反馈层（反馈优化）。同时，四层架构是面向全体读者的通用运行框架，读者类型的差异化（见第5章）通过感知层的类型识别与决策层、行动层的策略配置予以实现。”</w:t>
      </w:r>
    </w:p>
    <w:p w14:paraId="26AD169A">
      <w:pPr>
        <w:pStyle w:val="3"/>
        <w:keepNext w:val="0"/>
        <w:keepLines w:val="0"/>
        <w:widowControl/>
        <w:suppressLineNumbers w:val="0"/>
      </w:pPr>
      <w:r>
        <w:t>这样第4、5章就真正咬合了。</w:t>
      </w:r>
    </w:p>
    <w:p w14:paraId="4723C06B">
      <w:pPr>
        <w:pStyle w:val="3"/>
        <w:keepNext w:val="0"/>
        <w:keepLines w:val="0"/>
        <w:widowControl/>
        <w:suppressLineNumbers w:val="0"/>
      </w:pPr>
      <w:r>
        <w:t>4. 浅层分散型与“专业阅读目标进度条”存在张力</w:t>
      </w:r>
    </w:p>
    <w:p w14:paraId="53F4229C">
      <w:pPr>
        <w:pStyle w:val="3"/>
        <w:keepNext w:val="0"/>
        <w:keepLines w:val="0"/>
        <w:widowControl/>
        <w:suppressLineNumbers w:val="0"/>
      </w:pPr>
      <w:r>
        <w:t>4.3.5写“对低参与读者重点展示‘距离专业阅读目标还差X本’的进度提示”。但按5.1的划分，低参与读者包含两类：任务驱动型（专业指向）和浅层分散型（休闲指向）。对尚未建立任何阅读偏好、处于“动机真空”的浅层分散型直接压专业阅读目标，与全文“轻推、防抗拒”的主张相抵触。建议4.3.5区分表述：</w:t>
      </w:r>
    </w:p>
    <w:p w14:paraId="4AAE2501">
      <w:pPr>
        <w:keepNext w:val="0"/>
        <w:keepLines w:val="0"/>
        <w:widowControl/>
        <w:suppressLineNumbers w:val="0"/>
        <w:ind w:left="720" w:right="72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对任务驱动型读者，重点展示‘距离专业阅读目标还差X本’的进度提示，利用目标梯度效应激发完成动力；对浅层分散型读者，则先以低门槛的热门易读书目启动参与，待其形成稳定借阅行为后再逐步引入专业阅读目标提示。”</w:t>
      </w:r>
    </w:p>
    <w:p w14:paraId="44BAB2A7">
      <w:pPr>
        <w:pStyle w:val="3"/>
        <w:keepNext w:val="0"/>
        <w:keepLines w:val="0"/>
        <w:widowControl/>
        <w:suppressLineNumbers w:val="0"/>
      </w:pPr>
      <w:r>
        <w:t>5. 表2中浅层分散型的“个性化默认推荐”内容悬空</w:t>
      </w:r>
    </w:p>
    <w:p w14:paraId="26A739D9">
      <w:pPr>
        <w:pStyle w:val="3"/>
        <w:keepNext w:val="0"/>
        <w:keepLines w:val="0"/>
        <w:widowControl/>
        <w:suppressLineNumbers w:val="0"/>
      </w:pPr>
      <w:r>
        <w:t>4.3.1只说明了默认书单针对休闲沉浸型的设计（交叉读物），未说明给浅层分散型默认展示什么。建议在4.3.1或5.2补一句：“对浅层分散型读者，默认书单应以同专业高借阅的热门易读书目为主，辅以多元学科内容，先解决‘有没有可读’的启动问题。”</w:t>
      </w:r>
    </w:p>
    <w:p w14:paraId="190A9D70">
      <w:pPr>
        <w:pStyle w:val="3"/>
        <w:keepNext w:val="0"/>
        <w:keepLines w:val="0"/>
        <w:widowControl/>
        <w:suppressLineNumbers w:val="0"/>
      </w:pPr>
      <w:r>
        <w:t>6. 前向引用：第2章结尾预支了第3章的概念</w:t>
      </w:r>
    </w:p>
    <w:p w14:paraId="5D09EE79">
      <w:pPr>
        <w:pStyle w:val="3"/>
        <w:keepNext w:val="0"/>
        <w:keepLines w:val="0"/>
        <w:widowControl/>
        <w:suppressLineNumbers w:val="0"/>
      </w:pPr>
      <w:r>
        <w:t>2.4末尾写“能够有效应对高职学生阅读行为的结构性矛盾”，而“结构性矛盾”这一概念到第3章开头才提出。改为“能够有效应对高职图书馆阅读推广面临的现实困境”即可，把“结构性矛盾”留给第3章首次界定。</w:t>
      </w:r>
    </w:p>
    <w:p w14:paraId="55BF4618">
      <w:pPr>
        <w:pStyle w:val="2"/>
        <w:keepNext w:val="0"/>
        <w:keepLines w:val="0"/>
        <w:widowControl/>
        <w:suppressLineNumbers w:val="0"/>
      </w:pPr>
      <w:r>
        <w:t>三、重复冗余（建议压缩）</w:t>
      </w:r>
    </w:p>
    <w:p w14:paraId="06B76F50">
      <w:pPr>
        <w:pStyle w:val="3"/>
        <w:keepNext w:val="0"/>
        <w:keepLines w:val="0"/>
        <w:widowControl/>
        <w:suppressLineNumbers w:val="0"/>
      </w:pPr>
      <w:r>
        <w:t>7. 1.2与第3章重复。 1.2已经用一整段解释了“高认知门槛—低即时回报—缺乏持续反馈”的成因，第3章又完整展开一遍。建议1.2压缩为只陈述三重困境现象＋一句话点出根源，把成因分析完全留给第3章（例如1.2只保留“这三重困境的根源将在第3章从行为经济学视角予以阐释”）。</w:t>
      </w:r>
    </w:p>
    <w:p w14:paraId="157D1C73">
      <w:pPr>
        <w:pStyle w:val="3"/>
        <w:keepNext w:val="0"/>
        <w:keepLines w:val="0"/>
        <w:widowControl/>
        <w:suppressLineNumbers w:val="0"/>
      </w:pPr>
      <w:r>
        <w:t>8. 5.2与6.1的心理抗拒论述重复。 两处都讲“避免触发心理抗拒、保持感知选择自由”。建议分工：5.2只讲“策略设计层面的适用边界”（隐性嵌入、交叉读物），6.1只讲“制度层面的约束”（可一键更换、提示频次上限、不与强制性利益绑定），删去6.1中与5.2语义重复的句子。</w:t>
      </w:r>
    </w:p>
    <w:p w14:paraId="5675B0B2">
      <w:pPr>
        <w:pStyle w:val="3"/>
        <w:keepNext w:val="0"/>
        <w:keepLines w:val="0"/>
        <w:widowControl/>
        <w:suppressLineNumbers w:val="0"/>
      </w:pPr>
      <w:r>
        <w:t>9. 2.4与4.2部分重叠。 2.4已举了“协同过滤→默认书单、聚类→社群、可视化→反馈”三例，4.2的表1及阐释又完整重讲。建议2.4删去具体技术举例，只保留“契合性”的抽象论证，把技术对应完全交给4.2。</w:t>
      </w:r>
    </w:p>
    <w:p w14:paraId="3085C484">
      <w:pPr>
        <w:pStyle w:val="2"/>
        <w:keepNext w:val="0"/>
        <w:keepLines w:val="0"/>
        <w:widowControl/>
        <w:suppressLineNumbers w:val="0"/>
      </w:pPr>
      <w:r>
        <w:t>四、细节核验（无矛盾，确认无误）</w:t>
      </w:r>
    </w:p>
    <w:p w14:paraId="1621CA52">
      <w:pPr>
        <w:pStyle w:val="3"/>
        <w:keepNext w:val="0"/>
        <w:keepLines w:val="0"/>
        <w:widowControl/>
        <w:suppressLineNumbers w:val="0"/>
      </w:pPr>
      <w:r>
        <w:t>以下几处我专门核对过，逻辑自洽，无需改动：</w:t>
      </w:r>
    </w:p>
    <w:p w14:paraId="06D5446A">
      <w:pPr>
        <w:keepNext w:val="0"/>
        <w:keepLines w:val="0"/>
        <w:widowControl/>
        <w:numPr>
          <w:ilvl w:val="0"/>
          <w:numId w:val="4"/>
        </w:numPr>
        <w:suppressLineNumbers w:val="0"/>
        <w:spacing w:before="0" w:beforeAutospacing="1" w:after="0" w:afterAutospacing="1"/>
        <w:ind w:left="720" w:hanging="360"/>
      </w:pPr>
      <w:r>
        <w:t>摘要、英文摘要与正文的“两维度四类型”“五大策略”“ε-greedy”表述一致；</w:t>
      </w:r>
    </w:p>
    <w:p w14:paraId="78CF7825">
      <w:pPr>
        <w:keepNext w:val="0"/>
        <w:keepLines w:val="0"/>
        <w:widowControl/>
        <w:numPr>
          <w:ilvl w:val="0"/>
          <w:numId w:val="4"/>
        </w:numPr>
        <w:suppressLineNumbers w:val="0"/>
        <w:spacing w:before="0" w:beforeAutospacing="1" w:after="0" w:afterAutospacing="1"/>
        <w:ind w:left="720" w:hanging="360"/>
      </w:pPr>
      <w:r>
        <w:t>第1.2节的三个研究问题与第4、5、6章一一对应，首尾闭合；</w:t>
      </w:r>
    </w:p>
    <w:p w14:paraId="307B4E5F">
      <w:pPr>
        <w:keepNext w:val="0"/>
        <w:keepLines w:val="0"/>
        <w:widowControl/>
        <w:numPr>
          <w:ilvl w:val="0"/>
          <w:numId w:val="4"/>
        </w:numPr>
        <w:suppressLineNumbers w:val="0"/>
        <w:spacing w:before="0" w:beforeAutospacing="1" w:after="0" w:afterAutospacing="1"/>
        <w:ind w:left="720" w:hanging="360"/>
      </w:pPr>
      <w:r>
        <w:t>任务驱动型首选“游戏化激励”与其“外部调节动机”的设定不冲突（游戏化的价值恰在于4.3.3的“内化路径”而非叠加外部激励），表2行为学依据栏已自洽；</w:t>
      </w:r>
    </w:p>
    <w:p w14:paraId="13987E1B">
      <w:pPr>
        <w:keepNext w:val="0"/>
        <w:keepLines w:val="0"/>
        <w:widowControl/>
        <w:numPr>
          <w:ilvl w:val="0"/>
          <w:numId w:val="4"/>
        </w:numPr>
        <w:suppressLineNumbers w:val="0"/>
        <w:spacing w:before="0" w:beforeAutospacing="1" w:after="0" w:afterAutospacing="1"/>
        <w:ind w:left="720" w:hanging="360"/>
      </w:pPr>
      <w:r>
        <w:t>关键词已删除“用户聚类”，与纯理论定位一致，全文无残留实证表述（除上述第1条结论）；</w:t>
      </w:r>
    </w:p>
    <w:p w14:paraId="0B036EB2">
      <w:pPr>
        <w:keepNext w:val="0"/>
        <w:keepLines w:val="0"/>
        <w:widowControl/>
        <w:numPr>
          <w:ilvl w:val="0"/>
          <w:numId w:val="4"/>
        </w:numPr>
        <w:suppressLineNumbers w:val="0"/>
        <w:spacing w:before="0" w:beforeAutospacing="1" w:after="0" w:afterAutospacing="1"/>
        <w:ind w:left="720" w:hanging="360"/>
      </w:pPr>
      <w:r>
        <w:t>参考文献[16]（Sutton &amp; Barto）仅支撑6.2的ε-greedy机制，引用有效。</w:t>
      </w:r>
    </w:p>
    <w:p w14:paraId="46D79D88">
      <w:pPr>
        <w:pStyle w:val="2"/>
        <w:keepNext w:val="0"/>
        <w:keepLines w:val="0"/>
        <w:widowControl/>
        <w:suppressLineNumbers w:val="0"/>
      </w:pPr>
      <w:r>
        <w:t>修改优先级建议</w:t>
      </w:r>
    </w:p>
    <w:p w14:paraId="28A4E3E1">
      <w:pPr>
        <w:pStyle w:val="3"/>
        <w:keepNext w:val="0"/>
        <w:keepLines w:val="0"/>
        <w:widowControl/>
        <w:suppressLineNumbers w:val="0"/>
      </w:pPr>
      <w:r>
        <w:t>若时间有限，按此顺序处理：第1条（结论残留）必改，属硬伤；第2条（原则口径）必改，属理论一致性；第3、4条强烈建议改，直接影响评审对逻辑严密性的评价；第5–9条属于打磨项，可一并处理。全部修改完成后，正文总字数基本不变（约7000字），仍符合学报篇幅要求。</w:t>
      </w:r>
    </w:p>
    <w:p w14:paraId="1A98F7D7">
      <w:pPr>
        <w:pStyle w:val="3"/>
        <w:keepNext w:val="0"/>
        <w:keepLines w:val="0"/>
        <w:widowControl/>
        <w:suppressLineNumbers w:val="0"/>
      </w:pPr>
      <w:r>
        <w:t>；基于大语言模型的对话式阅读伴侣原型系统的开发与评估、AI助推伦理治理框架的细化，是后续研究的重要方向。</w:t>
      </w:r>
    </w:p>
    <w:p w14:paraId="2B55D884">
      <w:pPr>
        <w:pStyle w:val="3"/>
        <w:keepNext w:val="0"/>
        <w:keepLines w:val="0"/>
        <w:widowControl/>
        <w:suppressLineNumbers w:val="0"/>
      </w:pPr>
      <w:r>
        <w:t>参考文献</w:t>
      </w:r>
    </w:p>
    <w:p w14:paraId="33B2FEE4">
      <w:pPr>
        <w:pStyle w:val="3"/>
        <w:keepNext w:val="0"/>
        <w:keepLines w:val="0"/>
        <w:widowControl/>
        <w:suppressLineNumbers w:val="0"/>
      </w:pPr>
      <w:r>
        <w:t>[1] 国务院. 全民阅读促进条例[Z]. 2025-12-09.</w:t>
      </w:r>
    </w:p>
    <w:p w14:paraId="4184C083">
      <w:pPr>
        <w:pStyle w:val="3"/>
        <w:keepNext w:val="0"/>
        <w:keepLines w:val="0"/>
        <w:widowControl/>
        <w:suppressLineNumbers w:val="0"/>
      </w:pPr>
      <w:r>
        <w:t> [2] THALER R H, SUNSTEIN C R. Nudge: improving decisions about health, wealth and happiness[M]. New Haven: Yale University Press, 2008.</w:t>
      </w:r>
    </w:p>
    <w:p w14:paraId="21F147BE">
      <w:pPr>
        <w:pStyle w:val="3"/>
        <w:keepNext w:val="0"/>
        <w:keepLines w:val="0"/>
        <w:widowControl/>
        <w:suppressLineNumbers w:val="0"/>
      </w:pPr>
      <w:r>
        <w:t> [3] KAHNEMAN D. Thinking, fast and slow[M]. New York: Farrar, Straus and Giroux, 2011.</w:t>
      </w:r>
    </w:p>
    <w:p w14:paraId="301F6EC6">
      <w:pPr>
        <w:pStyle w:val="3"/>
        <w:keepNext w:val="0"/>
        <w:keepLines w:val="0"/>
        <w:widowControl/>
        <w:suppressLineNumbers w:val="0"/>
      </w:pPr>
      <w:r>
        <w:t> [4] WEINMANN M, SCHNEIDER C, VOM BROCKE J. Digital nudging[J]. Business &amp; Information Systems Engineering, 2016, 58(6): 433-436.</w:t>
      </w:r>
    </w:p>
    <w:p w14:paraId="2EED9058">
      <w:pPr>
        <w:pStyle w:val="3"/>
        <w:keepNext w:val="0"/>
        <w:keepLines w:val="0"/>
        <w:widowControl/>
        <w:suppressLineNumbers w:val="0"/>
      </w:pPr>
      <w:r>
        <w:t> [5] MIRSCH T, LEHRER C, JUNG R. Digital nudging: altering user behavior in digital environments[C]//Proceedings of the 13th International Conference on Wirtschaftsinformatik. Sankt Gallen: University of St. Gallen, 2017: 634-648.</w:t>
      </w:r>
    </w:p>
    <w:p w14:paraId="409288C0">
      <w:pPr>
        <w:pStyle w:val="3"/>
        <w:keepNext w:val="0"/>
        <w:keepLines w:val="0"/>
        <w:widowControl/>
        <w:suppressLineNumbers w:val="0"/>
      </w:pPr>
      <w:r>
        <w:t> [6] 余译青, 王宇成, 朱庆华. 数字化助推概念解析及研究进展[J]. 中国图书馆学报, 2021, 47(1): 108-122.</w:t>
      </w:r>
    </w:p>
    <w:p w14:paraId="3D542C8A">
      <w:pPr>
        <w:pStyle w:val="3"/>
        <w:keepNext w:val="0"/>
        <w:keepLines w:val="0"/>
        <w:widowControl/>
        <w:suppressLineNumbers w:val="0"/>
      </w:pPr>
      <w:r>
        <w:t> [7] SCHEMMER K, KETTNER M, KÜHL N. Digital nudging and autonomy: ethical considerations for designing choice architectures in digital environments[J]. Journal of Business Economics, 2022, 92(8): 1065-1094.</w:t>
      </w:r>
    </w:p>
    <w:p w14:paraId="6832B095">
      <w:pPr>
        <w:pStyle w:val="3"/>
        <w:keepNext w:val="0"/>
        <w:keepLines w:val="0"/>
        <w:widowControl/>
        <w:suppressLineNumbers w:val="0"/>
      </w:pPr>
      <w:r>
        <w:t> [8] 邵波, 王怡, 王进. 智慧图书馆建设进程与发展方向——以南京大学为例[J]. 图书情报工作, 2023, 67(13): 14-20.</w:t>
      </w:r>
    </w:p>
    <w:p w14:paraId="7657A904">
      <w:pPr>
        <w:pStyle w:val="3"/>
        <w:keepNext w:val="0"/>
        <w:keepLines w:val="0"/>
        <w:widowControl/>
        <w:suppressLineNumbers w:val="0"/>
      </w:pPr>
      <w:r>
        <w:t> [9] 刘宏伟, 季莹, 高雨, 等. 发挥学术资源优势，利用人工智能技术提升大学图书馆支撑个性化学习的能力[J]. 大学图书馆学报, 2024, 42(1): 39-47.</w:t>
      </w:r>
    </w:p>
    <w:p w14:paraId="25FA82D2">
      <w:pPr>
        <w:pStyle w:val="3"/>
        <w:keepNext w:val="0"/>
        <w:keepLines w:val="0"/>
        <w:widowControl/>
        <w:suppressLineNumbers w:val="0"/>
      </w:pPr>
      <w:r>
        <w:t> [10] 杨峰. 生成式人工智能的智能鸿沟生成[J]. 图书馆建设, 2023(4): 20-30.</w:t>
      </w:r>
    </w:p>
    <w:p w14:paraId="402D8D74">
      <w:pPr>
        <w:pStyle w:val="3"/>
        <w:keepNext w:val="0"/>
        <w:keepLines w:val="0"/>
        <w:widowControl/>
        <w:suppressLineNumbers w:val="0"/>
      </w:pPr>
      <w:r>
        <w:t> [11] 福建省图书馆. 海丝文化大语言模型正式发布试运行[EB/OL]. (2024-04-23)[引用日期]. https://www.fjlib.net.</w:t>
      </w:r>
    </w:p>
    <w:p w14:paraId="40D2D421">
      <w:pPr>
        <w:pStyle w:val="3"/>
        <w:keepNext w:val="0"/>
        <w:keepLines w:val="0"/>
        <w:widowControl/>
        <w:suppressLineNumbers w:val="0"/>
      </w:pPr>
      <w:r>
        <w:t> [12] 中国新闻出版研究院. 第二十次全国国民阅读调查报告[R]. 北京: 中国新闻出版研究院, 2023.</w:t>
      </w:r>
    </w:p>
    <w:p w14:paraId="2564C4C1">
      <w:pPr>
        <w:pStyle w:val="3"/>
        <w:keepNext w:val="0"/>
        <w:keepLines w:val="0"/>
        <w:widowControl/>
        <w:suppressLineNumbers w:val="0"/>
      </w:pPr>
      <w:r>
        <w:t> [13] BREHM J W. A theory of psychological reactance[M]. New York: Academic Press, 1966.</w:t>
      </w:r>
    </w:p>
    <w:p w14:paraId="6D738175">
      <w:pPr>
        <w:pStyle w:val="3"/>
        <w:keepNext w:val="0"/>
        <w:keepLines w:val="0"/>
        <w:widowControl/>
        <w:suppressLineNumbers w:val="0"/>
      </w:pPr>
      <w:r>
        <w:t> [14] DECI E L, RYAN R M. The “what” and “why” of goal pursuits: human needs and the self-determination of behavior[J]. Psychological Inquiry, 2000, 11(4): 227-268.</w:t>
      </w:r>
    </w:p>
    <w:p w14:paraId="2C649BA9">
      <w:pPr>
        <w:pStyle w:val="3"/>
        <w:keepNext w:val="0"/>
        <w:keepLines w:val="0"/>
        <w:widowControl/>
        <w:suppressLineNumbers w:val="0"/>
      </w:pPr>
      <w:r>
        <w:t> [15] PARISER E. The filter bubble: what the Internet is hiding from you[M]. New York: Penguin Press, 2011.</w:t>
      </w:r>
    </w:p>
    <w:p w14:paraId="33760AEB">
      <w:pPr>
        <w:pStyle w:val="3"/>
        <w:keepNext w:val="0"/>
        <w:keepLines w:val="0"/>
        <w:widowControl/>
        <w:suppressLineNumbers w:val="0"/>
      </w:pPr>
      <w:r>
        <w:t> [16] SUTTON R S, BARTO A G. Reinforcement learning: an introduction[M]. 2nd ed. Cambridge: MIT Press, 2018.</w:t>
      </w:r>
    </w:p>
    <w:p w14:paraId="6BBAD2FE">
      <w:pPr>
        <w:pStyle w:val="3"/>
        <w:keepNext w:val="0"/>
        <w:keepLines w:val="0"/>
        <w:widowControl/>
        <w:suppressLineNumbers w:val="0"/>
      </w:pPr>
      <w:r>
        <w:t>首页页脚（第一作者简介，请作者补齐）：</w:t>
      </w:r>
    </w:p>
    <w:p w14:paraId="19B8D27C">
      <w:pPr>
        <w:pStyle w:val="3"/>
        <w:keepNext w:val="0"/>
        <w:keepLines w:val="0"/>
        <w:widowControl/>
        <w:suppressLineNumbers w:val="0"/>
      </w:pPr>
      <w:r>
        <w:t> 作者简介：×××（19××年×月—），男/女，××省××人，馆员/副研究馆员，硕士，研究方向：图书馆阅读推广、智慧图书馆服务。</w:t>
      </w:r>
    </w:p>
    <w:p w14:paraId="7059E1E7">
      <w:pPr>
        <w:pStyle w:val="2"/>
        <w:keepNext w:val="0"/>
        <w:keepLines w:val="0"/>
        <w:widowControl/>
        <w:suppressLineNumbers w:val="0"/>
      </w:pPr>
      <w:r>
        <w:t>修改说明与几点提醒</w:t>
      </w:r>
    </w:p>
    <w:p w14:paraId="68471C98">
      <w:pPr>
        <w:pStyle w:val="3"/>
        <w:keepNext w:val="0"/>
        <w:keepLines w:val="0"/>
        <w:widowControl/>
        <w:suppressLineNumbers w:val="0"/>
      </w:pPr>
      <w:r>
        <w:t>主要改动：</w:t>
      </w:r>
    </w:p>
    <w:p w14:paraId="5F8E3D9D">
      <w:pPr>
        <w:keepNext w:val="0"/>
        <w:keepLines w:val="0"/>
        <w:widowControl/>
        <w:numPr>
          <w:ilvl w:val="0"/>
          <w:numId w:val="5"/>
        </w:numPr>
        <w:suppressLineNumbers w:val="0"/>
        <w:spacing w:before="0" w:beforeAutospacing="1" w:after="0" w:afterAutospacing="1"/>
        <w:ind w:left="720" w:hanging="360"/>
      </w:pPr>
      <w:r>
        <w:t>删除全部实证内容：原第3章借阅数据实证分析（127,193条记录、K-means聚类、Kruskal-Wallis检验等）和第5章模拟推演（转化率p、专业阅读率提升预测）整体删除，避免与"纯理论研究"定位冲突；</w:t>
      </w:r>
    </w:p>
    <w:p w14:paraId="3BCBA93A">
      <w:pPr>
        <w:keepNext w:val="0"/>
        <w:keepLines w:val="0"/>
        <w:widowControl/>
        <w:numPr>
          <w:ilvl w:val="0"/>
          <w:numId w:val="5"/>
        </w:numPr>
        <w:suppressLineNumbers w:val="0"/>
        <w:spacing w:before="0" w:beforeAutospacing="1" w:after="0" w:afterAutospacing="1"/>
        <w:ind w:left="720" w:hanging="360"/>
      </w:pPr>
      <w:r>
        <w:t>四类读者的来源由"数据聚类"改为"理论推演"：以"阅读参与度×阅读指向"两维度划分专业深耕型、休闲沉</w:t>
      </w:r>
      <w:bookmarkStart w:id="0" w:name="_GoBack"/>
      <w:bookmarkEnd w:id="0"/>
      <w:r>
        <w:t>浸型、任务驱动型、浅层分散型，并在文中明确说明这是"理论上的理想型"，逻辑自洽；</w:t>
      </w:r>
    </w:p>
    <w:p w14:paraId="2B9479DC">
      <w:pPr>
        <w:keepNext w:val="0"/>
        <w:keepLines w:val="0"/>
        <w:widowControl/>
        <w:numPr>
          <w:ilvl w:val="0"/>
          <w:numId w:val="5"/>
        </w:numPr>
        <w:suppressLineNumbers w:val="0"/>
        <w:spacing w:before="0" w:beforeAutospacing="1" w:after="0" w:afterAutospacing="1"/>
        <w:ind w:left="720" w:hanging="360"/>
      </w:pPr>
      <w:r>
        <w:t>重构论证主线：以"三重困境—结构性矛盾—助推理论工具箱—AI技术承载—策略体系—匹配关系—伦理约束"的纯逻辑链条组织全文；</w:t>
      </w:r>
    </w:p>
    <w:p w14:paraId="4992D0B7">
      <w:pPr>
        <w:keepNext w:val="0"/>
        <w:keepLines w:val="0"/>
        <w:widowControl/>
        <w:numPr>
          <w:ilvl w:val="0"/>
          <w:numId w:val="5"/>
        </w:numPr>
        <w:suppressLineNumbers w:val="0"/>
        <w:spacing w:before="0" w:beforeAutospacing="1" w:after="0" w:afterAutospacing="1"/>
        <w:ind w:left="720" w:hanging="360"/>
      </w:pPr>
      <w:r>
        <w:t>按投稿须知格式化：题名压缩至20字内（19字）；摘要改第三人称、限250字内、中英文一致；关键词6个中英文对应；标题层级改为"1、1.1、(1)"；表格改为三线表样式并附表序表题；参考文献按GB/T 7714—2015补全著者字母大写、文献类型标识等细节；正文约7000字。</w:t>
      </w:r>
    </w:p>
    <w:p w14:paraId="3E22FD0B">
      <w:pPr>
        <w:pStyle w:val="3"/>
        <w:keepNext w:val="0"/>
        <w:keepLines w:val="0"/>
        <w:widowControl/>
        <w:suppressLineNumbers w:val="0"/>
      </w:pPr>
      <w:r>
        <w:t>需要您补齐/注意的事项（请务必逐项确认）：</w:t>
      </w:r>
    </w:p>
    <w:p w14:paraId="35CC918D">
      <w:pPr>
        <w:keepNext w:val="0"/>
        <w:keepLines w:val="0"/>
        <w:widowControl/>
        <w:numPr>
          <w:ilvl w:val="0"/>
          <w:numId w:val="6"/>
        </w:numPr>
        <w:suppressLineNumbers w:val="0"/>
        <w:spacing w:before="0" w:beforeAutospacing="1" w:after="0" w:afterAutospacing="1"/>
        <w:ind w:left="720" w:hanging="360"/>
      </w:pPr>
      <w:r>
        <w:t>作者姓名、单位、城市、邮编、英译信息、第一作者简介均为占位符，须如实填写；</w:t>
      </w:r>
    </w:p>
    <w:p w14:paraId="4A0F0B12">
      <w:pPr>
        <w:keepNext w:val="0"/>
        <w:keepLines w:val="0"/>
        <w:widowControl/>
        <w:numPr>
          <w:ilvl w:val="0"/>
          <w:numId w:val="6"/>
        </w:numPr>
        <w:suppressLineNumbers w:val="0"/>
        <w:spacing w:before="0" w:beforeAutospacing="1" w:after="0" w:afterAutospacing="1"/>
        <w:ind w:left="720" w:hanging="360"/>
      </w:pPr>
      <w:r>
        <w:t>文献[1]和[11]中的引用日期、发布细节请核实官方文本后补全；</w:t>
      </w:r>
    </w:p>
    <w:p w14:paraId="3502B738">
      <w:pPr>
        <w:keepNext w:val="0"/>
        <w:keepLines w:val="0"/>
        <w:widowControl/>
        <w:numPr>
          <w:ilvl w:val="0"/>
          <w:numId w:val="6"/>
        </w:numPr>
        <w:suppressLineNumbers w:val="0"/>
        <w:spacing w:before="0" w:beforeAutospacing="1" w:after="0" w:afterAutospacing="1"/>
        <w:ind w:left="720" w:hanging="360"/>
      </w:pPr>
      <w:r>
        <w:t>若有省部级以上基金项目，请在首页页脚注明名称及编号，可优先发表；</w:t>
      </w:r>
    </w:p>
    <w:p w14:paraId="61B96310">
      <w:pPr>
        <w:keepNext w:val="0"/>
        <w:keepLines w:val="0"/>
        <w:widowControl/>
        <w:numPr>
          <w:ilvl w:val="0"/>
          <w:numId w:val="6"/>
        </w:numPr>
        <w:suppressLineNumbers w:val="0"/>
        <w:spacing w:before="0" w:beforeAutospacing="1" w:after="0" w:afterAutospacing="1"/>
        <w:ind w:left="720" w:hanging="360"/>
      </w:pPr>
      <w:r>
        <w:t>投稿前请在编辑部指定的查重系统自查（该刊要求查重低于10%）；</w:t>
      </w:r>
    </w:p>
    <w:p w14:paraId="301327CB">
      <w:pPr>
        <w:keepNext w:val="0"/>
        <w:keepLines w:val="0"/>
        <w:widowControl/>
        <w:numPr>
          <w:ilvl w:val="0"/>
          <w:numId w:val="6"/>
        </w:numPr>
        <w:suppressLineNumbers w:val="0"/>
        <w:spacing w:before="0" w:beforeAutospacing="1" w:after="0" w:afterAutospacing="1"/>
        <w:ind w:left="720" w:hanging="360"/>
      </w:pPr>
      <w:r>
        <w:t>如需保留架构图，可按须知自行绘制"四层闭环架构图"（图题置于图下方、6号宋体）。</w:t>
      </w:r>
    </w:p>
    <w:p w14:paraId="610E8A77">
      <w:pPr>
        <w:pStyle w:val="3"/>
        <w:keepNext w:val="0"/>
        <w:keepLines w:val="0"/>
        <w:widowControl/>
        <w:suppressLineNumbers w:val="0"/>
      </w:pPr>
      <w:r>
        <w:t>关于"能直接发表"的坦诚说明：任何修改都无法保证稿件必然录用——录用还取决于选题契合度、同行评审意见、查重结果和栏目安排等编辑环节。以上改写已满足该刊的形式要求（体例、字数、摘要、格式、参考文献著录），建议投稿时在栏目上选择"信息资源与新媒介"或"高职教育与管理"栏目，并在投稿系统留言说明稿件性质，以提高评审匹配度。</w:t>
      </w:r>
    </w:p>
    <w:p w14:paraId="71A218D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62B497"/>
    <w:multiLevelType w:val="multilevel"/>
    <w:tmpl w:val="EA62B497"/>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013D47B6"/>
    <w:multiLevelType w:val="multilevel"/>
    <w:tmpl w:val="013D47B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15EAAE3F"/>
    <w:multiLevelType w:val="multilevel"/>
    <w:tmpl w:val="15EAAE3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23AD178A"/>
    <w:multiLevelType w:val="multilevel"/>
    <w:tmpl w:val="23AD178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242ABA0C"/>
    <w:multiLevelType w:val="multilevel"/>
    <w:tmpl w:val="242ABA0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6AC1361B"/>
    <w:multiLevelType w:val="multilevel"/>
    <w:tmpl w:val="6AC1361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395159"/>
    <w:rsid w:val="20222654"/>
    <w:rsid w:val="4A3951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366</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2026-09-04T02:45:00Z</dcterms:created>
  <dc:creator>admin</dc:creator>
  <cp:lastModifiedBy>admin</cp:lastModifiedBy>
  <dcterms:modified xsi:type="dcterms:W3CDTF">2026-09-04T09:04:11Z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B3D1DDC616BE49DB9213920084C440EA_11</vt:lpwstr>
  </property>
  <property fmtid="{D5CDD505-2E9C-101B-9397-08002B2CF9AE}" pid="4" name="KSOTemplateDocerSaveRecord">
    <vt:lpwstr>eyJoZGlkIjoiODIzMTJiMDg1YjMxMDgwNTJhOTAwMTJkMjhlNDhmMjgifQ==</vt:lpwstr>
  </property>
</Properties>
</file>